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jc w:val="left"/>
        <w:rPr>
          <w:lang w:eastAsia="zh-CN"/>
        </w:rPr>
      </w:pPr>
      <w:r>
        <w:rPr>
          <w:lang w:eastAsia="zh-CN"/>
        </w:rPr>
        <w:t>附：</w:t>
      </w:r>
    </w:p>
    <w:p>
      <w:pPr>
        <w:pStyle w:val="2"/>
        <w:widowControl/>
        <w:jc w:val="center"/>
        <w:rPr>
          <w:rFonts w:hint="eastAsia" w:ascii="宋体" w:hAnsi="宋体" w:eastAsia="宋体" w:cs="仿宋"/>
          <w:b/>
          <w:bCs w:val="0"/>
          <w:sz w:val="36"/>
          <w:szCs w:val="36"/>
          <w:lang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  <w:lang w:eastAsia="zh-CN"/>
        </w:rPr>
        <w:t>汉阴县三沈文化产业园创意策划内容说明</w:t>
      </w:r>
    </w:p>
    <w:p>
      <w:pPr>
        <w:pStyle w:val="2"/>
        <w:widowControl/>
        <w:rPr>
          <w:lang/>
        </w:rPr>
      </w:pPr>
      <w:r>
        <w:rPr>
          <w:rFonts w:ascii="宋体" w:hAnsi="宋体" w:cs="宋体"/>
          <w:sz w:val="28"/>
          <w:szCs w:val="28"/>
          <w:lang w:eastAsia="zh-CN"/>
        </w:rPr>
        <w:t>一</w:t>
      </w:r>
      <w:r>
        <w:rPr>
          <w:sz w:val="28"/>
          <w:szCs w:val="28"/>
          <w:lang w:eastAsia="zh-CN"/>
        </w:rPr>
        <w:t>、</w:t>
      </w:r>
      <w:r>
        <w:rPr>
          <w:lang w:eastAsia="zh-CN"/>
        </w:rPr>
        <w:t>服务内容</w:t>
      </w:r>
      <w:r>
        <w:rPr>
          <w:lang/>
        </w:rPr>
        <w:t>：</w:t>
      </w:r>
    </w:p>
    <w:p>
      <w:pPr>
        <w:keepNext w:val="0"/>
        <w:keepLines w:val="0"/>
        <w:widowControl w:val="0"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eastAsia" w:ascii="仿宋" w:hAnsi="仿宋" w:eastAsia="仿宋" w:cs="仿宋"/>
          <w:sz w:val="30"/>
          <w:szCs w:val="24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24"/>
          <w:lang w:val="en-US" w:eastAsia="zh-CN" w:bidi="ar"/>
        </w:rPr>
        <w:t>1、地块基础判断+市场摸底</w:t>
      </w:r>
    </w:p>
    <w:tbl>
      <w:tblPr>
        <w:tblStyle w:val="4"/>
        <w:tblW w:w="7240" w:type="dxa"/>
        <w:tblInd w:w="98" w:type="dxa"/>
        <w:shd w:val="clea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28"/>
        <w:gridCol w:w="5812"/>
      </w:tblGrid>
      <w:tr>
        <w:tblPrEx>
          <w:shd w:val="clea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涉及内容</w:t>
            </w:r>
          </w:p>
        </w:tc>
      </w:tr>
      <w:tr>
        <w:tblPrEx>
          <w:shd w:val="clea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资源梳理报告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三沈产业园区域所在区位分析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三沈产业园区域大交通分析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三沈产业园区域配套分析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自然资源及气候分析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人文历史梳理分析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汉阴县域范围居民生活现状梳理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汉阴县域范围范围居民消费现状梳理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城市文化旅游条件现状梳理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目前旅游人群情况梳理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项目四至情况调查结果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汉阴县域旅游资源情况梳理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结论及分析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1" w:hRule="atLeast"/>
        </w:trPr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相关政策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研究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1、相关政策研究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210" w:leftChars="10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1）国家对旅游文化产业相关政策收集与研究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210" w:leftChars="10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2）陕西省对旅游文化产业政策收集与研究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210" w:leftChars="10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3）安康市及汉阴县对旅游文化产业政策的针对性执行办法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210" w:leftChars="10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4）政府关于创业政策的收集及研究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2结论及分析</w:t>
            </w:r>
          </w:p>
        </w:tc>
      </w:tr>
      <w:tr>
        <w:tblPrEx>
          <w:shd w:val="clea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4" w:hRule="atLeast"/>
        </w:trPr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旅游资源分类统计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1、现有景点分布与说明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2、现有自然资源与旅游发展的结合点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3、汉阴县历史文化背景描述与核心点提炼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4、核心文化提炼点的分项描述及分析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5、可被纳入文化产业及旅游发展体系的遗址遗迹归纳（重点在历史人文遗迹及历史风貌还原的挖掘）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6、当地具有典型意义的建筑与设施（现有的及已经消失但有必要复建的）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7、当地具有典型意义的民俗、人文活动（文化艺术、地方风俗与民间礼仪、传统节日民俗、婚丧嫁娶民俗、民间演艺、民间健身活动与赛事、饮食文化习惯等）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8、当地社会经济支撑的历史转变（由古至今的主导产业转变及因由）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9、特殊才艺人群分类梳理（文学、艺术、戏曲、歌曲、舞蹈、体育、武术、手工艺、非遗、厨艺及特殊才艺等各类人才的梳理）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eastAsia" w:ascii="仿宋" w:hAnsi="仿宋" w:eastAsia="仿宋" w:cs="仿宋"/>
          <w:sz w:val="30"/>
          <w:szCs w:val="24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24"/>
          <w:lang w:val="en-US" w:eastAsia="zh-CN" w:bidi="ar"/>
        </w:rPr>
        <w:t>2、项目发展综合策划（策划文本+规划改造文本）</w:t>
      </w:r>
    </w:p>
    <w:tbl>
      <w:tblPr>
        <w:tblStyle w:val="4"/>
        <w:tblW w:w="7240" w:type="dxa"/>
        <w:tblInd w:w="98" w:type="dxa"/>
        <w:shd w:val="clea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18"/>
        <w:gridCol w:w="5622"/>
      </w:tblGrid>
      <w:tr>
        <w:tblPrEx>
          <w:shd w:val="clea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3" w:hRule="atLeast"/>
        </w:trPr>
        <w:tc>
          <w:tcPr>
            <w:tcW w:w="1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5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涉及内容</w:t>
            </w:r>
          </w:p>
        </w:tc>
      </w:tr>
      <w:tr>
        <w:tblPrEx>
          <w:shd w:val="clea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atLeast"/>
        </w:trPr>
        <w:tc>
          <w:tcPr>
            <w:tcW w:w="1618" w:type="dxa"/>
            <w:tcBorders>
              <w:top w:val="single" w:color="836967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项目综合定位与开发节奏（策划文本）</w:t>
            </w:r>
          </w:p>
        </w:tc>
        <w:tc>
          <w:tcPr>
            <w:tcW w:w="5622" w:type="dxa"/>
            <w:tcBorders>
              <w:top w:val="single" w:color="836967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一、项目综合定位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1、项目文化旅游价值研判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2、项目综合SWOT分析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3、项目规划发展构想及定位、发展目标定位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210" w:leftChars="10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1）定位启发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210" w:leftChars="10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2）项目核心价值定位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210" w:leftChars="10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3）综合文化旅游价值定位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210" w:leftChars="10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4）客群定位，客源市场分析（结合图例）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210" w:leftChars="10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5）区域竞争分析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4、项目文化旅游开发总纲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210" w:leftChars="10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1）明确项目文化产业开发的现状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210" w:leftChars="10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2）先行布局方针及依据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210" w:leftChars="10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3）文化旅游发展工作小组构架与执行工作划分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5、项目整体文化旅游规划理念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6、项目核心文化旅游价值挖掘及结论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7、项目文化旅游产品类型和线路组织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8、旅游产业涉及类型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二、市场环境分析界定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210" w:leftChars="10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1）宏观文化旅游政策及经济趋势分析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210" w:leftChars="10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2）城市文化旅游市场现状分析 （旅游城市发展现状）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210" w:leftChars="10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列举一类旅游城市、二类旅游城市的发展特征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210" w:leftChars="10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3）安康市文化旅游市场综述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420" w:leftChars="20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①安康市文化旅游资源盘点及现状分析说明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420" w:leftChars="20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②安康市最具竞争力的类似文化旅游产业项目案例分析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4）县域范围旅游市场环境分析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210" w:leftChars="10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①汉阴旅游条件梳理（知名度、餐饮住宿接待条件）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210" w:leftChars="10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②外来游客到访途径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210" w:leftChars="10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③县域居民对旅游发展的认识（详细：纳入调研数据做说明）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5）县域范围文化旅游配套环境分析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210" w:leftChars="10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①汉阴整体文化旅游配套设施的配比量盘点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210" w:leftChars="10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②现有经营业态向旅游配套性经营转型的可能性分析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6）文化旅游市场机会点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210" w:leftChars="10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①县域经济转型的必要性分析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210" w:leftChars="10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②现有资源向文化旅游转型的可能性分析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7）结论与分析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三、开发节奏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210" w:leftChars="10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1、项目文化旅游发展步骤及板块划分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210" w:leftChars="10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2、统一规划分期开发改造设想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210" w:leftChars="10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3、文化旅游启动区板块详述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420" w:leftChars="20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①启动区范围（图示）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420" w:leftChars="20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②启动区动线布局及理由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420" w:leftChars="20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③启动区内的特色亮点分布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4、各发展板块详细文化旅游业态布局及分项描述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5、文化旅游相关产业规划设想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6、特色文化旅游商品规划设想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7、项目附加值提升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8、类似文化旅游项目案例分析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9、项目规划改造建议（具体要求见二）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10、运营顾问服务（招商布局+项目可持续发展+运营体系）研究（具体要求见三）</w:t>
            </w:r>
          </w:p>
        </w:tc>
      </w:tr>
    </w:tbl>
    <w:p>
      <w:pPr>
        <w:pStyle w:val="2"/>
        <w:widowControl/>
        <w:rPr>
          <w:lang w:eastAsia="zh-CN"/>
        </w:rPr>
      </w:pPr>
      <w:r>
        <w:rPr>
          <w:lang w:eastAsia="zh-CN"/>
        </w:rPr>
        <w:t>二、项目规划改造建议</w:t>
      </w:r>
    </w:p>
    <w:tbl>
      <w:tblPr>
        <w:tblStyle w:val="4"/>
        <w:tblW w:w="8620" w:type="dxa"/>
        <w:tblInd w:w="98" w:type="dxa"/>
        <w:shd w:val="clea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28"/>
        <w:gridCol w:w="7192"/>
      </w:tblGrid>
      <w:tr>
        <w:tblPrEx>
          <w:shd w:val="clea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7" w:hRule="atLeast"/>
        </w:trPr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719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涉及内容</w:t>
            </w:r>
          </w:p>
        </w:tc>
      </w:tr>
      <w:tr>
        <w:tblPrEx>
          <w:shd w:val="clea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4" w:hRule="atLeast"/>
        </w:trPr>
        <w:tc>
          <w:tcPr>
            <w:tcW w:w="142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规划执行建议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1、园区项目整体的规划与包装建议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2、园区项目内建筑特色建议（附参考案例）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3、水源系统的应用对项目的作用体现及修建建议（附参考案例）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4、园区项目内互动体验数字技术的应用（附参考案例）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5、沿游客设定路线范围内的街区规划建议（附参考案例）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6、各可发展版块环境细节及景观 建议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sz w:val="30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7、园区内业态落位的详细个案建议</w:t>
            </w:r>
          </w:p>
        </w:tc>
      </w:tr>
    </w:tbl>
    <w:p>
      <w:pPr>
        <w:pStyle w:val="2"/>
        <w:widowControl/>
        <w:rPr>
          <w:lang w:eastAsia="zh-CN"/>
        </w:rPr>
      </w:pPr>
      <w:r>
        <w:rPr>
          <w:lang w:val="en-US" w:eastAsia="zh-CN"/>
        </w:rPr>
        <w:t>三、运营顾问服务（招商布局+项目可持续发展+运营体系）建议</w:t>
      </w:r>
    </w:p>
    <w:tbl>
      <w:tblPr>
        <w:tblStyle w:val="4"/>
        <w:tblW w:w="8620" w:type="dxa"/>
        <w:tblInd w:w="98" w:type="dxa"/>
        <w:shd w:val="clea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28"/>
        <w:gridCol w:w="7192"/>
      </w:tblGrid>
      <w:tr>
        <w:tblPrEx>
          <w:shd w:val="clea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7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涉及内容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招商布局及执行建议</w:t>
            </w:r>
          </w:p>
        </w:tc>
        <w:tc>
          <w:tcPr>
            <w:tcW w:w="7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1、商业综合定位报告（市场、定位、客群、业态类型、招商总政策、运营执行方向）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2、各商业业态的布局划分及招商品牌范围锁定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3、可租货量排布、租控方案、租金价格、租售计划；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4、招商政策制定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5、招商定价体系方案的制定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6、招商执行环节计划表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7、商业形象推广建议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8、预招商执行方案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9、商户资源分类、归纳、调整方案的制定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10、可纳入招商范围的商户摸底及分析报告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11、初期商户管理体系方案的制定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12、各阶段招商所需的各项文本资料的拟定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13、商户优惠政策审批流程及文本</w:t>
            </w:r>
          </w:p>
        </w:tc>
      </w:tr>
      <w:tr>
        <w:tblPrEx>
          <w:shd w:val="clea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54" w:hRule="atLeast"/>
        </w:trPr>
        <w:tc>
          <w:tcPr>
            <w:tcW w:w="142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项目可持续发展规划建议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1、旅游及商业模式发展思路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2、商业模式性质界定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3、分期发展步骤及设想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210" w:leftChars="10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1）分期发展步骤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210" w:leftChars="10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2）分期区域特色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210" w:leftChars="10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3）分期重点商业形态与形式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4、规划设想实现方式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5、旅游转型的必要条件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210" w:leftChars="10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1）旅游接待设施和服务系统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210" w:leftChars="10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2）旅游要素配置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210" w:leftChars="10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3）旅游安全与卫生系统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4）旅游管理信息系统建设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运营体系建议</w:t>
            </w:r>
          </w:p>
        </w:tc>
        <w:tc>
          <w:tcPr>
            <w:tcW w:w="7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1、总体运营管理理念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2、初期运营管理阶段的划分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3、初期运营管理阶段需要设定的管理内容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4、初期运营管理阶段预计可实现的成果</w:t>
            </w:r>
          </w:p>
        </w:tc>
      </w:tr>
      <w:tr>
        <w:tblPrEx>
          <w:shd w:val="clea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开街活动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形式建议</w:t>
            </w:r>
          </w:p>
        </w:tc>
        <w:tc>
          <w:tcPr>
            <w:tcW w:w="71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1、开街活动可植入内容（文化、民俗、互动）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2、开街活动形式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3、开街活动分区域、分时段、分日期所开展的内容项目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4、游客动线设计及说明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5、宣传渠道建议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6、推广形式建议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20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7、旅游配套服务满足条件</w:t>
            </w:r>
          </w:p>
        </w:tc>
      </w:tr>
    </w:tbl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8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 w:val="0"/>
      <w:keepLines w:val="0"/>
      <w:widowControl w:val="0"/>
      <w:suppressLineNumbers w:val="0"/>
      <w:spacing w:before="120" w:beforeAutospacing="0" w:after="120" w:afterAutospacing="0" w:line="560" w:lineRule="exact"/>
      <w:ind w:left="0" w:right="0"/>
      <w:jc w:val="both"/>
      <w:outlineLvl w:val="0"/>
    </w:pPr>
    <w:rPr>
      <w:rFonts w:hint="eastAsia" w:ascii="黑体" w:hAnsi="宋体" w:eastAsia="黑体" w:cs="黑体"/>
      <w:kern w:val="2"/>
      <w:sz w:val="30"/>
      <w:szCs w:val="30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3"/>
    <w:link w:val="2"/>
    <w:uiPriority w:val="0"/>
    <w:rPr>
      <w:rFonts w:hint="eastAsia" w:ascii="黑体" w:hAnsi="宋体" w:eastAsia="黑体" w:cs="黑体"/>
      <w:kern w:val="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zengh</dc:creator>
  <cp:lastModifiedBy>SHEN</cp:lastModifiedBy>
  <dcterms:modified xsi:type="dcterms:W3CDTF">2018-01-02T04:41:14Z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