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spacing w:val="33"/>
          <w:kern w:val="0"/>
          <w:sz w:val="24"/>
        </w:rPr>
      </w:pPr>
    </w:p>
    <w:p>
      <w:pPr>
        <w:widowControl/>
        <w:jc w:val="center"/>
        <w:rPr>
          <w:rFonts w:ascii="宋体" w:hAnsi="宋体" w:cs="宋体"/>
          <w:spacing w:val="33"/>
          <w:kern w:val="0"/>
          <w:sz w:val="24"/>
        </w:rPr>
      </w:pPr>
      <w:r>
        <w:rPr>
          <w:rFonts w:ascii="宋体" w:hAnsi="宋体" w:cs="宋体"/>
          <w:b/>
          <w:bCs/>
          <w:color w:val="000000"/>
          <w:spacing w:val="33"/>
          <w:kern w:val="0"/>
          <w:sz w:val="24"/>
        </w:rPr>
        <w:t>关于印发中小企业划型标准规定的通知</w:t>
      </w:r>
    </w:p>
    <w:p>
      <w:pPr>
        <w:widowControl/>
        <w:jc w:val="center"/>
        <w:rPr>
          <w:rFonts w:ascii="宋体" w:hAnsi="宋体" w:cs="宋体"/>
          <w:kern w:val="0"/>
          <w:sz w:val="24"/>
        </w:rPr>
      </w:pPr>
      <w:r>
        <w:rPr>
          <w:rFonts w:ascii="宋体" w:hAnsi="宋体" w:cs="宋体"/>
          <w:b/>
          <w:bCs/>
          <w:color w:val="000000"/>
          <w:spacing w:val="33"/>
          <w:kern w:val="0"/>
          <w:sz w:val="20"/>
          <w:szCs w:val="20"/>
        </w:rPr>
        <w:t>工信部联企业〔2011〕300号</w:t>
      </w:r>
    </w:p>
    <w:p>
      <w:pPr>
        <w:widowControl/>
        <w:jc w:val="left"/>
        <w:rPr>
          <w:rFonts w:ascii="宋体" w:hAnsi="宋体" w:cs="宋体"/>
          <w:kern w:val="0"/>
          <w:sz w:val="24"/>
        </w:rPr>
      </w:pPr>
    </w:p>
    <w:p>
      <w:pPr>
        <w:widowControl/>
        <w:jc w:val="left"/>
        <w:rPr>
          <w:rFonts w:ascii="宋体" w:hAnsi="宋体" w:cs="宋体"/>
          <w:kern w:val="0"/>
          <w:sz w:val="24"/>
        </w:rPr>
      </w:pPr>
      <w:r>
        <w:rPr>
          <w:rFonts w:ascii="宋体" w:hAnsi="宋体" w:cs="宋体"/>
          <w:b/>
          <w:bCs/>
          <w:color w:val="000000"/>
          <w:spacing w:val="33"/>
          <w:kern w:val="0"/>
          <w:sz w:val="25"/>
        </w:rPr>
        <w:t>各省、自治区、直辖市人民政府，国务院各部委、各直属机构及有关单位：</w:t>
      </w:r>
    </w:p>
    <w:p>
      <w:pPr>
        <w:widowControl/>
        <w:ind w:firstLine="480"/>
        <w:jc w:val="left"/>
        <w:rPr>
          <w:rFonts w:ascii="宋体" w:hAnsi="宋体" w:cs="宋体"/>
          <w:kern w:val="0"/>
          <w:sz w:val="24"/>
        </w:rPr>
      </w:pPr>
      <w:r>
        <w:rPr>
          <w:rFonts w:ascii="宋体" w:hAnsi="宋体" w:cs="宋体"/>
          <w:b/>
          <w:bCs/>
          <w:color w:val="000000"/>
          <w:spacing w:val="33"/>
          <w:kern w:val="0"/>
          <w:sz w:val="25"/>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widowControl/>
        <w:jc w:val="left"/>
        <w:rPr>
          <w:rFonts w:ascii="宋体" w:hAnsi="宋体" w:cs="宋体"/>
          <w:kern w:val="0"/>
          <w:sz w:val="24"/>
        </w:rPr>
      </w:pPr>
    </w:p>
    <w:p>
      <w:pPr>
        <w:widowControl/>
        <w:jc w:val="center"/>
        <w:rPr>
          <w:rFonts w:ascii="宋体" w:hAnsi="宋体" w:cs="宋体"/>
          <w:kern w:val="0"/>
          <w:sz w:val="24"/>
        </w:rPr>
      </w:pPr>
      <w:r>
        <w:rPr>
          <w:rFonts w:ascii="宋体" w:hAnsi="宋体" w:cs="宋体"/>
          <w:b/>
          <w:bCs/>
          <w:color w:val="000000"/>
          <w:spacing w:val="33"/>
          <w:kern w:val="0"/>
          <w:sz w:val="25"/>
        </w:rPr>
        <w:t>工业和信息化部　国家统计局</w:t>
      </w:r>
    </w:p>
    <w:p>
      <w:pPr>
        <w:widowControl/>
        <w:jc w:val="center"/>
        <w:rPr>
          <w:rFonts w:ascii="宋体" w:hAnsi="宋体" w:cs="宋体"/>
          <w:kern w:val="0"/>
          <w:sz w:val="24"/>
        </w:rPr>
      </w:pPr>
      <w:r>
        <w:rPr>
          <w:rFonts w:ascii="宋体" w:hAnsi="宋体" w:cs="宋体"/>
          <w:b/>
          <w:bCs/>
          <w:color w:val="000000"/>
          <w:spacing w:val="33"/>
          <w:kern w:val="0"/>
          <w:sz w:val="25"/>
        </w:rPr>
        <w:t>国家发展和改革委员会　财政部</w:t>
      </w:r>
    </w:p>
    <w:p>
      <w:pPr>
        <w:widowControl/>
        <w:jc w:val="center"/>
        <w:rPr>
          <w:rFonts w:ascii="宋体" w:hAnsi="宋体" w:cs="宋体"/>
          <w:kern w:val="0"/>
          <w:sz w:val="24"/>
        </w:rPr>
      </w:pPr>
      <w:r>
        <w:rPr>
          <w:rFonts w:ascii="宋体" w:hAnsi="宋体" w:cs="宋体"/>
          <w:b/>
          <w:bCs/>
          <w:color w:val="000000"/>
          <w:spacing w:val="33"/>
          <w:kern w:val="0"/>
          <w:sz w:val="25"/>
        </w:rPr>
        <w:t>二○一一年六月十八日</w:t>
      </w:r>
    </w:p>
    <w:p>
      <w:pPr>
        <w:widowControl/>
        <w:jc w:val="left"/>
        <w:rPr>
          <w:rFonts w:ascii="宋体" w:hAnsi="宋体" w:cs="宋体"/>
          <w:kern w:val="0"/>
          <w:sz w:val="24"/>
        </w:rPr>
      </w:pPr>
    </w:p>
    <w:p>
      <w:pPr>
        <w:widowControl/>
        <w:jc w:val="left"/>
        <w:rPr>
          <w:rFonts w:ascii="宋体" w:hAnsi="宋体" w:cs="宋体"/>
          <w:kern w:val="0"/>
          <w:sz w:val="24"/>
        </w:rPr>
      </w:pPr>
    </w:p>
    <w:p>
      <w:pPr>
        <w:widowControl/>
        <w:jc w:val="center"/>
        <w:rPr>
          <w:rFonts w:ascii="宋体" w:hAnsi="宋体" w:cs="宋体"/>
          <w:kern w:val="0"/>
          <w:sz w:val="24"/>
        </w:rPr>
      </w:pPr>
      <w:r>
        <w:rPr>
          <w:rFonts w:hint="eastAsia" w:ascii="微软雅黑" w:hAnsi="微软雅黑" w:eastAsia="微软雅黑" w:cs="宋体"/>
          <w:b/>
          <w:bCs/>
          <w:color w:val="000000"/>
          <w:spacing w:val="33"/>
          <w:kern w:val="0"/>
          <w:sz w:val="30"/>
        </w:rPr>
        <w:t>中小企业划型标准规定</w:t>
      </w:r>
    </w:p>
    <w:p>
      <w:pPr>
        <w:widowControl/>
        <w:jc w:val="center"/>
        <w:rPr>
          <w:rFonts w:ascii="宋体" w:hAnsi="宋体" w:cs="宋体"/>
          <w:kern w:val="0"/>
          <w:sz w:val="24"/>
        </w:rPr>
      </w:pPr>
    </w:p>
    <w:p>
      <w:r>
        <w:rPr>
          <w:rFonts w:ascii="宋体" w:hAnsi="宋体" w:cs="宋体"/>
          <w:spacing w:val="33"/>
          <w:kern w:val="0"/>
          <w:sz w:val="25"/>
          <w:szCs w:val="25"/>
        </w:rPr>
        <w:t>　　</w:t>
      </w:r>
      <w:r>
        <w:rPr>
          <w:rFonts w:hint="eastAsia" w:ascii="微软雅黑" w:hAnsi="微软雅黑" w:eastAsia="微软雅黑" w:cs="宋体"/>
          <w:color w:val="000000"/>
          <w:spacing w:val="33"/>
          <w:kern w:val="0"/>
          <w:sz w:val="25"/>
          <w:szCs w:val="25"/>
        </w:rPr>
        <w:t>一、根据《中华人民共和国中小企业促进法》和《国务院关于进一步促进中小企业发展的若干意见》(国发〔2009〕36号)，制定本规定。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二、中小企业划分为中型、小型、微型三种类型，具体标准根据企业从业人员、营业收入、资产总额等指标，结合行业特点制定。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四、各行业划型标准为：</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（一）农、林、牧、渔业。营业收入20000万元以下的为中小微型企业。其中，营业收入500万元及以上的为中型企业，营业收入50万元及以上的为小型企业，营业收入50万元以下的为微型企业。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（十六）其他未列明行业。从业人员300人以下的为中小微型企业。其中，从业人员100人及以上的为中型企业；从业人员10人及以上的为小型企业；从业人员10人以下的为微型企业。</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五、企业类型的划分以统计部门的统计数据为依据。</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六、本规定适用于在中华人民共和国境内依法设立的各类所有制和各种组织形式的企业。个体工商户和本规定以外的行业，参照本规定进行划型。</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八、本规定由工业和信息化部、国家统计局会同有关部门根据《国民经济行业分类》修订情况和企业发展变化情况适时修订。</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九、本规定由工业和信息化部、国家统计局会同有关部门负责解释。</w:t>
      </w:r>
      <w:r>
        <w:rPr>
          <w:rFonts w:hint="eastAsia" w:ascii="微软雅黑" w:hAnsi="微软雅黑" w:eastAsia="微软雅黑" w:cs="宋体"/>
          <w:color w:val="000000"/>
          <w:spacing w:val="33"/>
          <w:kern w:val="0"/>
          <w:sz w:val="25"/>
          <w:szCs w:val="25"/>
        </w:rPr>
        <w:br w:type="textWrapping"/>
      </w:r>
      <w:r>
        <w:rPr>
          <w:rFonts w:hint="eastAsia" w:ascii="微软雅黑" w:hAnsi="微软雅黑" w:eastAsia="微软雅黑" w:cs="宋体"/>
          <w:color w:val="000000"/>
          <w:spacing w:val="33"/>
          <w:kern w:val="0"/>
          <w:sz w:val="25"/>
          <w:szCs w:val="25"/>
        </w:rPr>
        <w:t>　　十、本规定自发布之日起执行，原国家经贸委、原国家计委、财政部和国家统计局2003年颁布的《中小企业标准暂行规定》同时废止。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A731E"/>
    <w:rsid w:val="424A7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ind w:firstLine="88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2021-02-08T07:53:00Z</dcterms:created>
  <dc:creator>是小徐呀！！！</dc:creator>
  <cp:lastModifiedBy>是小徐呀！！！</cp:lastModifiedBy>
  <dcterms:modified xsi:type="dcterms:W3CDTF">2021-02-08T07:53:52Z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