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60" w:type="dxa"/>
        <w:tblInd w:w="108" w:type="dxa"/>
        <w:tblLayout w:type="fixed"/>
        <w:tblCellMar>
          <w:top w:w="0" w:type="dxa"/>
          <w:left w:w="108" w:type="dxa"/>
          <w:bottom w:w="0" w:type="dxa"/>
          <w:right w:w="108" w:type="dxa"/>
        </w:tblCellMar>
      </w:tblPr>
      <w:tblGrid>
        <w:gridCol w:w="426"/>
        <w:gridCol w:w="2177"/>
        <w:gridCol w:w="5298"/>
        <w:gridCol w:w="1059"/>
      </w:tblGrid>
      <w:tr>
        <w:tblPrEx>
          <w:tblLayout w:type="fixed"/>
          <w:tblCellMar>
            <w:top w:w="0" w:type="dxa"/>
            <w:left w:w="108" w:type="dxa"/>
            <w:bottom w:w="0" w:type="dxa"/>
            <w:right w:w="108" w:type="dxa"/>
          </w:tblCellMar>
        </w:tblPrEx>
        <w:trPr>
          <w:cantSplit/>
          <w:trHeight w:val="420" w:hRule="atLeast"/>
          <w:tblHeader/>
        </w:trPr>
        <w:tc>
          <w:tcPr>
            <w:tcW w:w="8960" w:type="dxa"/>
            <w:gridSpan w:val="4"/>
            <w:tcBorders>
              <w:top w:val="nil"/>
              <w:left w:val="nil"/>
              <w:bottom w:val="single" w:color="auto" w:sz="4" w:space="0"/>
              <w:right w:val="nil"/>
            </w:tcBorders>
            <w:shd w:val="clear" w:color="auto" w:fill="auto"/>
            <w:vAlign w:val="center"/>
          </w:tcPr>
          <w:p>
            <w:pPr>
              <w:widowControl/>
              <w:jc w:val="center"/>
              <w:rPr>
                <w:rFonts w:hint="eastAsia" w:ascii="微软雅黑" w:hAnsi="微软雅黑" w:eastAsia="微软雅黑" w:cs="微软雅黑"/>
                <w:kern w:val="0"/>
                <w:sz w:val="32"/>
                <w:szCs w:val="32"/>
              </w:rPr>
            </w:pPr>
            <w:bookmarkStart w:id="0" w:name="RANGE!D1:G132"/>
            <w:r>
              <w:rPr>
                <w:rFonts w:hint="eastAsia" w:ascii="微软雅黑" w:hAnsi="微软雅黑" w:eastAsia="微软雅黑" w:cs="微软雅黑"/>
                <w:kern w:val="0"/>
                <w:sz w:val="32"/>
                <w:szCs w:val="32"/>
              </w:rPr>
              <w:t>汉阴县2011～2015年主要建设项目规划表</w:t>
            </w:r>
            <w:bookmarkEnd w:id="0"/>
          </w:p>
        </w:tc>
      </w:tr>
      <w:tr>
        <w:tblPrEx>
          <w:tblLayout w:type="fixed"/>
          <w:tblCellMar>
            <w:top w:w="0" w:type="dxa"/>
            <w:left w:w="108" w:type="dxa"/>
            <w:bottom w:w="0" w:type="dxa"/>
            <w:right w:w="108" w:type="dxa"/>
          </w:tblCellMar>
        </w:tblPrEx>
        <w:trPr>
          <w:cantSplit/>
          <w:trHeight w:val="510" w:hRule="atLeast"/>
          <w:tblHeader/>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序号</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项目名称</w:t>
            </w:r>
          </w:p>
        </w:tc>
        <w:tc>
          <w:tcPr>
            <w:tcW w:w="529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建设规模或主要建设内容</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预计投资</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（万元）</w:t>
            </w:r>
          </w:p>
        </w:tc>
      </w:tr>
      <w:tr>
        <w:tblPrEx>
          <w:tblLayout w:type="fixed"/>
          <w:tblCellMar>
            <w:top w:w="0" w:type="dxa"/>
            <w:left w:w="108" w:type="dxa"/>
            <w:bottom w:w="0" w:type="dxa"/>
            <w:right w:w="108" w:type="dxa"/>
          </w:tblCellMar>
        </w:tblPrEx>
        <w:trPr>
          <w:cantSplit/>
          <w:trHeight w:val="255" w:hRule="atLeast"/>
        </w:trPr>
        <w:tc>
          <w:tcPr>
            <w:tcW w:w="2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合计</w:t>
            </w:r>
          </w:p>
        </w:tc>
        <w:tc>
          <w:tcPr>
            <w:tcW w:w="529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127个项目</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1860800</w:t>
            </w:r>
          </w:p>
        </w:tc>
      </w:tr>
      <w:tr>
        <w:tblPrEx>
          <w:tblLayout w:type="fixed"/>
          <w:tblCellMar>
            <w:top w:w="0" w:type="dxa"/>
            <w:left w:w="108" w:type="dxa"/>
            <w:bottom w:w="0" w:type="dxa"/>
            <w:right w:w="108" w:type="dxa"/>
          </w:tblCellMar>
        </w:tblPrEx>
        <w:trPr>
          <w:cantSplit/>
          <w:trHeight w:val="255" w:hRule="atLeast"/>
        </w:trPr>
        <w:tc>
          <w:tcPr>
            <w:tcW w:w="2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一、工业类</w:t>
            </w:r>
          </w:p>
        </w:tc>
        <w:tc>
          <w:tcPr>
            <w:tcW w:w="529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36个项目</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755500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页岩陶土开发</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扩建厂房及生产机械设备，仿古及现代新型瓷片年产量12亿块。</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水泥企业技改扩能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扩建厂房及生产机械设备，年产量达到130万吨。</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商品混凝土生产</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新建厂房及生产机械设备。</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3800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生猪深加工</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扩建厂房及生产机械设备，年加工商品生猪50万头。</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6400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富硒乌鸡肉蛋深加工</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新建厂房及生产机械设备，年产量达到1000吨以上，养殖乌鸡100万只。</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富硒魔芋系列食品开发</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新建和扩建厂房及生产设备，使年产量超过10万吨。</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25000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富硒大米精加工</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对现有厂房和设备进行技术改造与扩建，生产优质大米2万吨。</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富硒菜籽油深加工</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对现有厂房和设备进行技术改造与扩建，生产优质食用油。</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富硒油茶深加工</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新建厂房及生产机械设备，年产茶油2000吨以上。</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5600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富硒核桃深加工</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新建厂房及生产机械设备，年核桃饮料1万吨。</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富硒野生食用菌生产加工</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扩建厂房及设备，扩大野生食用菌产量，包括杏鲍菇项目建设。</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富硒葛根系列食品开发</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新建和扩建厂房及生产设备，使年产量达到10万袋。</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富硒茶叶深加工</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新建厂房及生产机械设备，年产量达到200吨以上。</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富硒特色食品、小吃</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扩建厂房及生产机械设备，年产量2万吨。</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电动车生产</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新建厂房及生产机械设备，年产量10万辆。</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太阳能热水器</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新建厂房及生产机械设备，年产量10万台。</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17</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中昌管业扩建</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扩建厂房及生产机械设备，扩大PE管材生产量。</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18</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魔芋精粉烘干专利设备</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扩建厂房及生产机械设备。</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3400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19</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鲜茧烘干专利设备</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扩建厂房及生产机械设备。</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碳素生产</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新建厂房及生产机械设备，年产量4万吨。</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2800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生物防锈颜料</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扩建厂房及生产机械设备，年产量10万吨。</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60000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生物医药</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新建以杜仲、葛根素、茶多酚为原料配制生物医药生产线。</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24000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杜仲精胶专利产品开发</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扩建厂房和生产机械设备，扩大生产量，种植杜仲面积1万亩。</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黄姜皂素清洁化生产线建设项目</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建成年产300吨皂素及3000吨水解物生产线。</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新专利植物配方饲料添加剂</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扩建厂房和生产机械设备，扩大生产量。</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乳化炸药配套生产线</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新建乳化剂等生产厂房及机械设备。</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27</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烟花生产</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扩建厂房及设备，新建安全生产管理设施，年产量达到60—80万箱。</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28</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氨纶包芯纱</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新建厂房及生产机械设备，年产量1万吨。</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29</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蚕茧深加工</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利用丰富的蚕茧资源，开发高档丝及蚕蛹保健品，建厂房及购置安装现代生产设备。</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30</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石材资源开发</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对南部花岗岩、板石及北部水泥矿进行勘探与建厂开采。</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北部黄金资源勘探</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对北部龙垭、铁佛寺、石条街等黄金资源进行勘探。</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北部石墨矿勘探</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完成北部铁佛寺等镇境内石墨资源勘探任务。</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2500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南部石煤开发</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完成南部石煤资源储量勘探及建矿任务。</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牟梓河电站</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电站及供电线路建设。</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工业园区孵化园设施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新建科学孵化园示范区域基础设施。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凯迪30MW生物质能源项目</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建设30万亩能源林基地，20万亩有机能源基地，1X30MW生物质电厂，年产10万吨生物质液体材料深加工厂及有机肥厂。</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330000</w:t>
            </w:r>
          </w:p>
        </w:tc>
      </w:tr>
      <w:tr>
        <w:tblPrEx>
          <w:tblLayout w:type="fixed"/>
          <w:tblCellMar>
            <w:top w:w="0" w:type="dxa"/>
            <w:left w:w="108" w:type="dxa"/>
            <w:bottom w:w="0" w:type="dxa"/>
            <w:right w:w="108" w:type="dxa"/>
          </w:tblCellMar>
        </w:tblPrEx>
        <w:trPr>
          <w:cantSplit/>
          <w:trHeight w:val="255" w:hRule="atLeast"/>
        </w:trPr>
        <w:tc>
          <w:tcPr>
            <w:tcW w:w="260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二、农业类</w:t>
            </w:r>
          </w:p>
        </w:tc>
        <w:tc>
          <w:tcPr>
            <w:tcW w:w="529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10个项目</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87500</w:t>
            </w:r>
          </w:p>
        </w:tc>
      </w:tr>
      <w:tr>
        <w:tblPrEx>
          <w:tblLayout w:type="fixed"/>
          <w:tblCellMar>
            <w:top w:w="0" w:type="dxa"/>
            <w:left w:w="108" w:type="dxa"/>
            <w:bottom w:w="0" w:type="dxa"/>
            <w:right w:w="108" w:type="dxa"/>
          </w:tblCellMar>
        </w:tblPrEx>
        <w:trPr>
          <w:cantSplit/>
          <w:trHeight w:val="76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富硒生猪繁育饲养</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规划达到年产100万头繁育饲养数量，发展养殖户，培育良种，引进先进技术，新建繁育饲养现代化厂房及养殖设施。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肉牛养殖项目</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建牛舍2.6万平方米，购机械设备，建养殖基地，年养殖育肥肉牛6000头。</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6500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设施蔬菜种植</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规划面积3.5万亩，现有0.8万亩，扩建2.7万亩，主要开展蔬菜生产基础设施建设及良种引进等方面。</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27000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富硒油茶种植</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规划种植优质富硒油茶10万亩，并建相关管理设施。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富硒核桃种植</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规划种植优质富硒核桃面积5万亩，并建相关管理设施。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富硒茶园种植</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规划种植优质富硒茶园面积达到5万亩， 并建相关管理设施。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大鲵繁育养殖</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年商品大鲵达到10万尾，新建养殖设施及购种鲵。</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2177" w:type="dxa"/>
            <w:tcBorders>
              <w:top w:val="nil"/>
              <w:left w:val="nil"/>
              <w:bottom w:val="nil"/>
              <w:right w:val="nil"/>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富硒油菜种植</w:t>
            </w:r>
          </w:p>
        </w:tc>
        <w:tc>
          <w:tcPr>
            <w:tcW w:w="529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规划面积10万亩，按富硒油菜种植技术规范，开展田间有关基础设施建设，良种培育、技术培训、土壤改良。</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76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2177"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富硒水稻种植</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规划面积10万亩，按富硒水稻种植技术规范，开展田间有关设施建设，培育良种，培训技术人员及种植户，开展土壤改良。</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6000</w:t>
            </w:r>
          </w:p>
        </w:tc>
      </w:tr>
      <w:tr>
        <w:tblPrEx>
          <w:tblLayout w:type="fixed"/>
          <w:tblCellMar>
            <w:top w:w="0" w:type="dxa"/>
            <w:left w:w="108" w:type="dxa"/>
            <w:bottom w:w="0" w:type="dxa"/>
            <w:right w:w="108" w:type="dxa"/>
          </w:tblCellMar>
        </w:tblPrEx>
        <w:trPr>
          <w:cantSplit/>
          <w:trHeight w:val="76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富硒魔芋种植</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规划面积5万亩，按富硒魔芋种植技术规范，开展田间有关设施建设，培育良种，培训技术人员及种植户，开展土壤改良。</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255" w:hRule="atLeast"/>
        </w:trPr>
        <w:tc>
          <w:tcPr>
            <w:tcW w:w="260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三、三产类</w:t>
            </w:r>
          </w:p>
        </w:tc>
        <w:tc>
          <w:tcPr>
            <w:tcW w:w="529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21个项目</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131900</w:t>
            </w:r>
          </w:p>
        </w:tc>
      </w:tr>
      <w:tr>
        <w:tblPrEx>
          <w:tblLayout w:type="fixed"/>
          <w:tblCellMar>
            <w:top w:w="0" w:type="dxa"/>
            <w:left w:w="108" w:type="dxa"/>
            <w:bottom w:w="0" w:type="dxa"/>
            <w:right w:w="108" w:type="dxa"/>
          </w:tblCellMar>
        </w:tblPrEx>
        <w:trPr>
          <w:cantSplit/>
          <w:trHeight w:val="25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县城物流中心项目</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征用土地，新建物流中心管理房、库房及相关基础设施。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富硒食品物流专用项目</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征用土地，新建食品中心管理房、库房及相关基础设施。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冷链物流</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新建肉类及鲜果、蔬菜类冻库及相关设施，年保鲜储存量可达10万吨以上。</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粮油安全设施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新建及改造粮油安全储备仓库及相关设施。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邮政建设</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新建未通邮镇邮政所及相关基础设施。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供销商城</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占地16亩，建设商住楼及商业用房。</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集贸市场</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对县城、重点镇集贸市场进行扩建改建。</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三沈文化及油菜花节</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对景点予以规划，并建相关基础设施，培训旅游服务人员。</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文博馆及三沈纪念馆</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新建纪念馆管理房及管理设施。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文化大厦</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新建大楼及配套基础设施。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城市建设展览馆</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基础设施、史料搜集、沙盘、展板、声光电展示设施。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凤凰山庄旅游设施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扩建景点及基础设施，培训标准化旅游服务人员。</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4500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大木坝森林公园</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扩建景点及基础设施，培训标准化旅游服务人员。</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凤江万亩明清梯田旅游设施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道路及相关景点设施建设，培训旅游服务人员。</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龙寨沟旅游设施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扩建景点及基础设施，培训标准化旅游服务人员。</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4500</w:t>
            </w:r>
          </w:p>
        </w:tc>
      </w:tr>
      <w:tr>
        <w:tblPrEx>
          <w:tblLayout w:type="fixed"/>
          <w:tblCellMar>
            <w:top w:w="0" w:type="dxa"/>
            <w:left w:w="108" w:type="dxa"/>
            <w:bottom w:w="0" w:type="dxa"/>
            <w:right w:w="108" w:type="dxa"/>
          </w:tblCellMar>
        </w:tblPrEx>
        <w:trPr>
          <w:cantSplit/>
          <w:trHeight w:val="25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铁瓦殿旅游设施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道路及相关景点设施建设，培训旅游服务人员。</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3500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17</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擂鼓台汉阴专线旅游设施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道路及相关景点设施建设，培训旅游服务人员。</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2400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18</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洞河水库旅游设施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库区周围景点设施建设，培训旅游服务人员。</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19</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观音河库区及水围寨设施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扩建景点及基础设施，培训标准化旅游服务人员。</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两合崖旅游设施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扩建景点及基础设施，培训标准化旅游服务人员。</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3500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凤凰大酒店</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大楼建设，基础设施建设、部分商品房开发。</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23000</w:t>
            </w:r>
          </w:p>
        </w:tc>
      </w:tr>
      <w:tr>
        <w:tblPrEx>
          <w:tblLayout w:type="fixed"/>
          <w:tblCellMar>
            <w:top w:w="0" w:type="dxa"/>
            <w:left w:w="108" w:type="dxa"/>
            <w:bottom w:w="0" w:type="dxa"/>
            <w:right w:w="108" w:type="dxa"/>
          </w:tblCellMar>
        </w:tblPrEx>
        <w:trPr>
          <w:cantSplit/>
          <w:trHeight w:val="285" w:hRule="atLeast"/>
        </w:trPr>
        <w:tc>
          <w:tcPr>
            <w:tcW w:w="260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四、基础设施</w:t>
            </w:r>
          </w:p>
        </w:tc>
        <w:tc>
          <w:tcPr>
            <w:tcW w:w="529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33个项目</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491100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洞河水库</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总蓄水量4560万立方米，新建双曲拱坝、发电设备及相关管理设施。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26000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病险水库加固改造</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加固改造病险水库13座。</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月河等流域综合治理工程</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新建及加固月河、洞河、牟梓河等堤防60Km，包括绿化等生态建设内容。</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丹保二期小流域治理</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规划15条小流域，面积250平方公里以上，主要开展坡改梯、堤防、塘坝、生产道路、水保林等项目建设。</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月河补水工程</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从汉江喜河电站库区的尾水端池河最低洄水位修建提水工程，每年调水2.6亿立方米补给月河源头的高梁铺。</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20000</w:t>
            </w:r>
          </w:p>
        </w:tc>
      </w:tr>
      <w:tr>
        <w:tblPrEx>
          <w:tblLayout w:type="fixed"/>
          <w:tblCellMar>
            <w:top w:w="0" w:type="dxa"/>
            <w:left w:w="108" w:type="dxa"/>
            <w:bottom w:w="0" w:type="dxa"/>
            <w:right w:w="108" w:type="dxa"/>
          </w:tblCellMar>
        </w:tblPrEx>
        <w:trPr>
          <w:cantSplit/>
          <w:trHeight w:val="25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土地整理</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根据规划对重点区域逐年分批整理。</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中低产田及口粮田改造</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规划面积6万亩，主要开展农田水利设施建设。</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现代农业园区</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管理设施、科技推广基础设施、生产设施建设。</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凤凰山隧道</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打通凤凰山隧道8Km，并建相关安全设施。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45000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北坡隧道</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打通县城－麒麟沟隧道工程1.6Km。</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叶碾路改造</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按二级路标准对叶坪－铜钱－县城－漩涡－双坪－碾子垭120Km道路进行提等改造。</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月南路改造</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按二级路标准改造月南路50Km，含绿化等生态环境建设内容。</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紫涧月河大桥</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新建紫云－涧池月河大桥150延米，含引线工程及相关设施。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小街月河大桥</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新建小街一公星月河大桥150延米，含引线工程及相关设施。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县城规划区骨干道路</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规划新建30Km，砼道路。</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凤凰大道扩建</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扩建长度5000米，宽50米，并建相关设施。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17</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通村水泥路改造</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对部分损坏水泥路及少数村未通水泥路进行新建及改造，预计100Km。</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18</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国、省、市道公路改造</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国、省、市公路扩建及改造。</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19</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川道四级客运站</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新建标准化四级客运站4处。</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城乡电网改造</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根据规划对城乡电网分年分批分区域进行改造。</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11000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通讯建设</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新建及改造移动、联通、电信公司通讯基础设施。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城乡统筹示范区</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征地、基础设施建设、生态住宅小区及综合服务设施建设。</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重点集镇建设</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涧池、蒲溪、平梁、漩涡、汉阳、铁佛寺等重点镇基础设施建设。</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旧城改造</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旧城拆迁、新建居民住宅、基础设施等建设。</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30000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县镇公益设施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新建县城及镇、村供排水、照明、道路、卫生等公益设施。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天然气管道及设施建设</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新建天然气主铺管道300Km及相关设施。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27</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节能基础设施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新建及改造沼气池、节煤、节柴等基础设施，降低碳排放量。</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28</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县城垃圾处理厂</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新建厂房、处理设备及建相关设施。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29</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县城污水处理厂</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建厂房及加工处理机械设备，日处理污水量1－2万吨。</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6600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30</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龙岗生态公园二期</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绿化，迁坟，小景点、景观、灯光等建设。</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营造低碳生态林</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荒山荒地、江河、公路、村庄等地营造生态林面积10万亩。</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长江防护林建设</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规划种植长江防护林建设面积3万亩，并建相关管理设施。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地质滑坡治理</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根据规划对重点滑坡点逐年分批治理。</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5000</w:t>
            </w:r>
          </w:p>
        </w:tc>
      </w:tr>
      <w:tr>
        <w:tblPrEx>
          <w:tblLayout w:type="fixed"/>
          <w:tblCellMar>
            <w:top w:w="0" w:type="dxa"/>
            <w:left w:w="108" w:type="dxa"/>
            <w:bottom w:w="0" w:type="dxa"/>
            <w:right w:w="108" w:type="dxa"/>
          </w:tblCellMar>
        </w:tblPrEx>
        <w:trPr>
          <w:cantSplit/>
          <w:trHeight w:val="285" w:hRule="atLeast"/>
        </w:trPr>
        <w:tc>
          <w:tcPr>
            <w:tcW w:w="260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五、民生工程</w:t>
            </w:r>
          </w:p>
        </w:tc>
        <w:tc>
          <w:tcPr>
            <w:tcW w:w="529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27个项目</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394800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汉阴中学迁建</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新建教学楼、住宿楼及配套基础设施。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13000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中小学校舍建设</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对中小学危房校舍进行改建或新建，完善相关设施。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县、镇、村幼儿园</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规划81所，新建及改造幼儿园房屋及有关配套设施。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再就业培训中心</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新建培训大楼及相关配套设施。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1800</w:t>
            </w:r>
          </w:p>
        </w:tc>
      </w:tr>
      <w:tr>
        <w:tblPrEx>
          <w:tblLayout w:type="fixed"/>
          <w:tblCellMar>
            <w:top w:w="0" w:type="dxa"/>
            <w:left w:w="108" w:type="dxa"/>
            <w:bottom w:w="0" w:type="dxa"/>
            <w:right w:w="108" w:type="dxa"/>
          </w:tblCellMar>
        </w:tblPrEx>
        <w:trPr>
          <w:cantSplit/>
          <w:trHeight w:val="25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县医院扩建</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扩建门诊楼2.2万平方米，建相关基础设施。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4000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镇、村卫生院室建设</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对部分镇卫生院及村卫生室进行新建或改造，购先进医疗卫生设施。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计划生育设施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新建及改造县、镇计划生育用房及购置计生专用设施。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创国卫工程</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创建国家卫生县城，按规划建设县、乡镇、村创卫设施。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社区及敬老院建设</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新建镇、村社区及敬老院50所，建相关设施。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县社会养老服务机构</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新建县社会养老服务中心及8个社区养老服务工作站。</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1800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老年公寓</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公寓楼及生活设施。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残疾人服务设施</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新建残疾人康复中心和托养中心综合楼及相关配套设施。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汉阴体育场馆</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新建体育馆及配套基础设施。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人力资源市场建设</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新建管理大楼及相关配套设施。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商品住宅开发</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规划5000套，总面积70万平方米。</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210000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保障性住宅开发</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规划5000套，总面积40万平方米。</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17</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农村安全饮水</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镇村供水水源、蓄水池、集水井、供水塔管道等建设。</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11000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18</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以工代赈项目</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新建及改造镇、村农田水利交通等基础设施。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19</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生态移民搬迁</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新建住房及配套基础设施。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移民扶贫开发项目</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开展移民乡镇基础设施及生产设施建设。</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21</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现代殡仪馆建设</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新建服务功能齐全的现代殡仪馆及相关设施。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3500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22</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公检法司业务用房设施建设</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公检法司部门用房及配套设施建设和社会治安防控体系建设。</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23</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安全生产管理</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新建安全生产管理楼及相关配套设施。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2000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24</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药监管理</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新建药监管理楼及相关配套设施。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1500</w:t>
            </w:r>
          </w:p>
        </w:tc>
      </w:tr>
      <w:tr>
        <w:tblPrEx>
          <w:tblLayout w:type="fixed"/>
          <w:tblCellMar>
            <w:top w:w="0" w:type="dxa"/>
            <w:left w:w="108" w:type="dxa"/>
            <w:bottom w:w="0" w:type="dxa"/>
            <w:right w:w="108" w:type="dxa"/>
          </w:tblCellMar>
        </w:tblPrEx>
        <w:trPr>
          <w:cantSplit/>
          <w:trHeight w:val="285"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25</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质监管理</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新建质监管理楼及相关配套设施。</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26</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人民防空指挥中心</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占地10亩，建筑面积5000平方米，建设视频指挥系统、卫星接收系统、信息处理系统。</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2500</w:t>
            </w:r>
          </w:p>
        </w:tc>
      </w:tr>
      <w:tr>
        <w:tblPrEx>
          <w:tblLayout w:type="fixed"/>
          <w:tblCellMar>
            <w:top w:w="0" w:type="dxa"/>
            <w:left w:w="108" w:type="dxa"/>
            <w:bottom w:w="0" w:type="dxa"/>
            <w:right w:w="108" w:type="dxa"/>
          </w:tblCellMar>
        </w:tblPrEx>
        <w:trPr>
          <w:cantSplit/>
          <w:trHeight w:val="51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27</w:t>
            </w:r>
          </w:p>
        </w:tc>
        <w:tc>
          <w:tcPr>
            <w:tcW w:w="2177"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县职教中心二期工程</w:t>
            </w:r>
          </w:p>
        </w:tc>
        <w:tc>
          <w:tcPr>
            <w:tcW w:w="5298" w:type="dxa"/>
            <w:tcBorders>
              <w:top w:val="nil"/>
              <w:left w:val="nil"/>
              <w:bottom w:val="single" w:color="auto" w:sz="4" w:space="0"/>
              <w:right w:val="single" w:color="auto" w:sz="4" w:space="0"/>
            </w:tcBorders>
            <w:shd w:val="clear" w:color="auto" w:fill="auto"/>
            <w:vAlign w:val="center"/>
          </w:tcPr>
          <w:p>
            <w:pPr>
              <w:widowControl/>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新建学生公寓4500平方米、实训基地、体育场及校园绿化美化工程。</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2300</w:t>
            </w:r>
          </w:p>
        </w:tc>
      </w:tr>
    </w:tbl>
    <w:p>
      <w:pPr>
        <w:rPr>
          <w:rFonts w:hint="eastAsia" w:ascii="微软雅黑" w:hAnsi="微软雅黑" w:eastAsia="微软雅黑" w:cs="微软雅黑"/>
          <w:b/>
          <w:spacing w:val="8"/>
          <w:sz w:val="24"/>
          <w:szCs w:val="24"/>
          <w:u w:val="single"/>
        </w:rPr>
      </w:pPr>
    </w:p>
    <w:p>
      <w:pPr>
        <w:rPr>
          <w:rFonts w:hint="eastAsia" w:ascii="微软雅黑" w:hAnsi="微软雅黑" w:eastAsia="微软雅黑" w:cs="微软雅黑"/>
          <w:b/>
          <w:spacing w:val="8"/>
          <w:sz w:val="24"/>
          <w:szCs w:val="24"/>
          <w:u w:val="single"/>
        </w:rPr>
      </w:pPr>
    </w:p>
    <w:p>
      <w:pPr>
        <w:rPr>
          <w:rFonts w:hint="eastAsia" w:ascii="微软雅黑" w:hAnsi="微软雅黑" w:eastAsia="微软雅黑" w:cs="微软雅黑"/>
          <w:b/>
          <w:spacing w:val="8"/>
          <w:sz w:val="24"/>
          <w:szCs w:val="24"/>
          <w:u w:val="single"/>
        </w:rPr>
      </w:pPr>
      <w:r>
        <w:rPr>
          <w:rFonts w:hint="eastAsia" w:ascii="微软雅黑" w:hAnsi="微软雅黑" w:eastAsia="微软雅黑" w:cs="微软雅黑"/>
          <w:b/>
          <w:spacing w:val="8"/>
          <w:sz w:val="24"/>
          <w:szCs w:val="24"/>
          <w:u w:val="single"/>
        </w:rPr>
        <w:t xml:space="preserve">注释：                                                                   </w:t>
      </w:r>
    </w:p>
    <w:p>
      <w:pPr>
        <w:rPr>
          <w:rFonts w:hint="eastAsia" w:ascii="微软雅黑" w:hAnsi="微软雅黑" w:eastAsia="微软雅黑" w:cs="微软雅黑"/>
          <w:spacing w:val="8"/>
          <w:sz w:val="24"/>
          <w:szCs w:val="24"/>
        </w:rPr>
      </w:pPr>
    </w:p>
    <w:p>
      <w:pPr>
        <w:numPr>
          <w:ilvl w:val="0"/>
          <w:numId w:val="1"/>
        </w:numPr>
        <w:tabs>
          <w:tab w:val="left" w:pos="540"/>
          <w:tab w:val="left" w:pos="72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转变经济发展方式</w:t>
      </w:r>
      <w:r>
        <w:rPr>
          <w:rFonts w:hint="eastAsia" w:ascii="微软雅黑" w:hAnsi="微软雅黑" w:eastAsia="微软雅黑" w:cs="微软雅黑"/>
          <w:kern w:val="0"/>
          <w:sz w:val="24"/>
          <w:szCs w:val="24"/>
        </w:rPr>
        <w:t>：经济发展包含经济增长，但是经济增长却不一定包含经济发展。经济增长强调量的增加；经济发展不仅指量的增加，更注重结构改善和质量提高，是质和量的有机统一。转变经济发展方式必须把粗放型经济增长转变为集约型经济增长，把单纯地追求GDP量的扩张转变到更加注重优化经济结构，提高经济效益和经济增长质量，更加注重不断提高人民群众的物质文化生活水平，让广大人民群众共享改革成果。</w:t>
      </w:r>
    </w:p>
    <w:p>
      <w:pPr>
        <w:numPr>
          <w:ilvl w:val="0"/>
          <w:numId w:val="1"/>
        </w:numPr>
        <w:tabs>
          <w:tab w:val="left" w:pos="540"/>
          <w:tab w:val="left" w:pos="72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全域汉阴</w:t>
      </w:r>
      <w:r>
        <w:rPr>
          <w:rFonts w:hint="eastAsia" w:ascii="微软雅黑" w:hAnsi="微软雅黑" w:eastAsia="微软雅黑" w:cs="微软雅黑"/>
          <w:kern w:val="0"/>
          <w:sz w:val="24"/>
          <w:szCs w:val="24"/>
        </w:rPr>
        <w:t>：是把汉阴县行政区域作为一个完整意义上的整体，统一规划，科学布局，并按规划建设和发展。</w:t>
      </w:r>
    </w:p>
    <w:p>
      <w:pPr>
        <w:numPr>
          <w:ilvl w:val="0"/>
          <w:numId w:val="1"/>
        </w:numPr>
        <w:tabs>
          <w:tab w:val="left" w:pos="540"/>
          <w:tab w:val="left" w:pos="72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城乡统筹</w:t>
      </w:r>
      <w:r>
        <w:rPr>
          <w:rFonts w:hint="eastAsia" w:ascii="微软雅黑" w:hAnsi="微软雅黑" w:eastAsia="微软雅黑" w:cs="微软雅黑"/>
          <w:kern w:val="0"/>
          <w:sz w:val="24"/>
          <w:szCs w:val="24"/>
        </w:rPr>
        <w:t>：就是要改变和摒弃过去那种重城市、轻农村，“城乡分治”的观念和做法，通过体制改革和政策调整逐步清除城乡之间的界限和差距，在制定国民经济发展计划、确定国民收入分配格局、研究重大经济政策时，把解决好农业、农村和农民问题放在优先位置，加大对农业的支持和保护，发挥城市对农村的带动作用和农村对城市的促进作用，实现城乡经济社会一体化发展。</w:t>
      </w:r>
    </w:p>
    <w:p>
      <w:pPr>
        <w:numPr>
          <w:ilvl w:val="0"/>
          <w:numId w:val="1"/>
        </w:numPr>
        <w:tabs>
          <w:tab w:val="left" w:pos="540"/>
          <w:tab w:val="left" w:pos="72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一体两翼</w:t>
      </w:r>
      <w:r>
        <w:rPr>
          <w:rFonts w:hint="eastAsia" w:ascii="微软雅黑" w:hAnsi="微软雅黑" w:eastAsia="微软雅黑" w:cs="微软雅黑"/>
          <w:kern w:val="0"/>
          <w:sz w:val="24"/>
          <w:szCs w:val="24"/>
        </w:rPr>
        <w:t>：是安康生产力布局和突破发展格局的简称。“一体”即月河川道，是安康境内区位条件优越、基础设施完善、产业优势明显、经济社会发展最具活力和潜力的重点区域。跨越汉滨、汉阴、石泉3县（区）18个乡镇（办事处）的月河川道区域。“两翼”是指旬阳县和平利县，是安康市县域经济相对比较发达的区域。“一体”带动“两翼”，“两翼”支撑“一体”，着力打造要素集中、产业聚焦、效益最佳、充满活力的产业集群带。</w:t>
      </w:r>
    </w:p>
    <w:p>
      <w:pPr>
        <w:numPr>
          <w:ilvl w:val="0"/>
          <w:numId w:val="1"/>
        </w:numPr>
        <w:tabs>
          <w:tab w:val="left" w:pos="540"/>
          <w:tab w:val="left" w:pos="72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三个十万人</w:t>
      </w:r>
      <w:r>
        <w:rPr>
          <w:rFonts w:hint="eastAsia" w:ascii="微软雅黑" w:hAnsi="微软雅黑" w:eastAsia="微软雅黑" w:cs="微软雅黑"/>
          <w:kern w:val="0"/>
          <w:sz w:val="24"/>
          <w:szCs w:val="24"/>
        </w:rPr>
        <w:t>：即县城10万人，集镇和新型社区10万人，新农村10万人的人口总体布局。</w:t>
      </w:r>
    </w:p>
    <w:p>
      <w:pPr>
        <w:numPr>
          <w:ilvl w:val="0"/>
          <w:numId w:val="1"/>
        </w:numPr>
        <w:tabs>
          <w:tab w:val="left" w:pos="72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一主一副五点</w:t>
      </w:r>
      <w:r>
        <w:rPr>
          <w:rFonts w:hint="eastAsia" w:ascii="微软雅黑" w:hAnsi="微软雅黑" w:eastAsia="微软雅黑" w:cs="微软雅黑"/>
          <w:kern w:val="0"/>
          <w:sz w:val="24"/>
          <w:szCs w:val="24"/>
        </w:rPr>
        <w:t>：以县城为主，以涧池省级重点镇为副中心，蒲溪、平梁、铁佛寺、漩涡、汉阳为中心集镇的城镇体系。</w:t>
      </w:r>
    </w:p>
    <w:p>
      <w:pPr>
        <w:numPr>
          <w:ilvl w:val="0"/>
          <w:numId w:val="1"/>
        </w:numPr>
        <w:tabs>
          <w:tab w:val="left" w:pos="540"/>
          <w:tab w:val="left" w:pos="72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城镇化率</w:t>
      </w:r>
      <w:r>
        <w:rPr>
          <w:rFonts w:hint="eastAsia" w:ascii="微软雅黑" w:hAnsi="微软雅黑" w:eastAsia="微软雅黑" w:cs="微软雅黑"/>
          <w:kern w:val="0"/>
          <w:sz w:val="24"/>
          <w:szCs w:val="24"/>
        </w:rPr>
        <w:t>：也称城镇化水平，通常用城镇人口占全部人口的百分比来表示，用于反映人口向城镇聚集的过程和聚集程度。</w:t>
      </w:r>
    </w:p>
    <w:p>
      <w:pPr>
        <w:numPr>
          <w:ilvl w:val="0"/>
          <w:numId w:val="1"/>
        </w:numPr>
        <w:tabs>
          <w:tab w:val="left" w:pos="540"/>
          <w:tab w:val="left" w:pos="72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农村新型社区</w:t>
      </w:r>
      <w:r>
        <w:rPr>
          <w:rFonts w:hint="eastAsia" w:ascii="微软雅黑" w:hAnsi="微软雅黑" w:eastAsia="微软雅黑" w:cs="微软雅黑"/>
          <w:kern w:val="0"/>
          <w:sz w:val="24"/>
          <w:szCs w:val="24"/>
        </w:rPr>
        <w:t>：是对过去“村”一级行政单位进行的变革，结果是社区虽然地处农村，却有着不逊色于城市的基础设施，有完善的公共服务和社会管理功能，有以群众为主体的基层自治机制，有为居民取得可持续收入的集体经济组织。</w:t>
      </w:r>
    </w:p>
    <w:p>
      <w:pPr>
        <w:numPr>
          <w:ilvl w:val="0"/>
          <w:numId w:val="1"/>
        </w:numPr>
        <w:tabs>
          <w:tab w:val="left" w:pos="540"/>
          <w:tab w:val="left" w:pos="72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循环经济</w:t>
      </w:r>
      <w:r>
        <w:rPr>
          <w:rFonts w:hint="eastAsia" w:ascii="微软雅黑" w:hAnsi="微软雅黑" w:eastAsia="微软雅黑" w:cs="微软雅黑"/>
          <w:kern w:val="0"/>
          <w:sz w:val="24"/>
          <w:szCs w:val="24"/>
        </w:rPr>
        <w:t>：是指以资源的高效利用和循环利用为核心，以“减量化、再利用、再循环”为原则，以低消耗、低排放、高效率为基本特征的社会生产和再生产模式。其实质是以尽可能少的资源消耗和尽可能小的环境代价实现最大的发展效益，它要求运用生态学规律来指导人类社会的经济活动，并按照“资源—产品—再生资源”的反馈式流程，构建一种与环境相和谐的经济发展模式。</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新型工业化</w:t>
      </w:r>
      <w:r>
        <w:rPr>
          <w:rFonts w:hint="eastAsia" w:ascii="微软雅黑" w:hAnsi="微软雅黑" w:eastAsia="微软雅黑" w:cs="微软雅黑"/>
          <w:kern w:val="0"/>
          <w:sz w:val="24"/>
          <w:szCs w:val="24"/>
        </w:rPr>
        <w:t>：就是科技含量高、经济效益好、资源消耗低、环境污染少、人力资源优势得到充分发挥的工业化，通过信息化带动工业化，以工业化促进信息化。</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产业集聚</w:t>
      </w:r>
      <w:r>
        <w:rPr>
          <w:rFonts w:hint="eastAsia" w:ascii="微软雅黑" w:hAnsi="微软雅黑" w:eastAsia="微软雅黑" w:cs="微软雅黑"/>
          <w:kern w:val="0"/>
          <w:sz w:val="24"/>
          <w:szCs w:val="24"/>
        </w:rPr>
        <w:t>：是指产业在空间上的集中分布现象。产业集聚在某一共同空间发展，可以共享基础设施，带来规模经济效益。</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产业集群</w:t>
      </w:r>
      <w:r>
        <w:rPr>
          <w:rFonts w:hint="eastAsia" w:ascii="微软雅黑" w:hAnsi="微软雅黑" w:eastAsia="微软雅黑" w:cs="微软雅黑"/>
          <w:kern w:val="0"/>
          <w:sz w:val="24"/>
          <w:szCs w:val="24"/>
        </w:rPr>
        <w:t>：是由与某一产业领域相关的相互之间具有密切联系的企业及其相应机构组成的有机整体。是一种高效的产业组织形式。</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产业梯次转移</w:t>
      </w:r>
      <w:r>
        <w:rPr>
          <w:rFonts w:hint="eastAsia" w:ascii="微软雅黑" w:hAnsi="微软雅黑" w:eastAsia="微软雅黑" w:cs="微软雅黑"/>
          <w:kern w:val="0"/>
          <w:sz w:val="24"/>
          <w:szCs w:val="24"/>
        </w:rPr>
        <w:t>：即产业区域转移，是以企业为主导的经济活动，是由于资源供给或产品需求条件发生变化后，某些产业从某一国家或地区转移到另一个国家或地区的经济行为和过程。产业梯次转移是一个普遍存在的经济规律。</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规模以上工业</w:t>
      </w:r>
      <w:r>
        <w:rPr>
          <w:rFonts w:hint="eastAsia" w:ascii="微软雅黑" w:hAnsi="微软雅黑" w:eastAsia="微软雅黑" w:cs="微软雅黑"/>
          <w:kern w:val="0"/>
          <w:sz w:val="24"/>
          <w:szCs w:val="24"/>
        </w:rPr>
        <w:t>：1998年至2006年，规模以上工业是指全部国有及年主营业务收入达到500万元及以上的非国有工业法人企业；规模以下工业指年主营业务收入（产品销售收入）500万元以下的非国有工业企业和全部个体经营工业单位。从2007年开始，按照国家统计局的规定，年主营业务收入不足500万元的国有工业法人企业不再作为规模以上工业统计范围。即目前规模以上工业的统计范围为年主营业务收入达到500万元及以上的工业法人企业；规模以下工业统计范围为年主营业务收入（产品销售收入）500万元以下的工业企业和全部个体经营工业单位。</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两头在外</w:t>
      </w:r>
      <w:r>
        <w:rPr>
          <w:rFonts w:hint="eastAsia" w:ascii="微软雅黑" w:hAnsi="微软雅黑" w:eastAsia="微软雅黑" w:cs="微软雅黑"/>
          <w:kern w:val="0"/>
          <w:sz w:val="24"/>
          <w:szCs w:val="24"/>
        </w:rPr>
        <w:t>：是指原材料和销售都来自于县境外，生产在县境内，也就是说从县境外组织原料加工好后，再把产品卖到县境外市场的一种加工贸易方式。</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硒</w:t>
      </w:r>
      <w:r>
        <w:rPr>
          <w:rFonts w:hint="eastAsia" w:ascii="微软雅黑" w:hAnsi="微软雅黑" w:eastAsia="微软雅黑" w:cs="微软雅黑"/>
          <w:kern w:val="0"/>
          <w:sz w:val="24"/>
          <w:szCs w:val="24"/>
        </w:rPr>
        <w:t>：硒是一种稀缺的化学元素，且在自然界分布很不均匀，全世界有42个国家和地区缺硒，我国有72%的地域处于缺硒和低硒的生态环境之中。威胁人类健康和生命的癌症、心血管病、肝病、糖尿病、儿童发育不良等四十多种疾病都与人体缺硒有关。因而，硒在世界上获得了“生命的火种”、“抗癌之王”、“心脏的守护神”、“天然的解毒剂”等美誉。经普查，全市9县1区都不同程度处在富硒的生态环境之中。安康市成为全国面积最大、地层厚，硒储量巨大、浓度适中、最宜开发利用的富硒区域，属于全世界难得的土壤富硒且易于被植物吸收的富硒区域，被有关专家一致评价为“优质、环保、安全”的富硒区域。我市围绕富硒茶、矿泉水、五谷杂粮、食用油、食用菌、魔芋、绞股蓝、肉品等优质富硒生物资源，正在着力打造“中国硒谷、绿色安康”的地域名片。</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月河工业园区</w:t>
      </w:r>
      <w:r>
        <w:rPr>
          <w:rFonts w:hint="eastAsia" w:ascii="微软雅黑" w:hAnsi="微软雅黑" w:eastAsia="微软雅黑" w:cs="微软雅黑"/>
          <w:kern w:val="0"/>
          <w:sz w:val="24"/>
          <w:szCs w:val="24"/>
        </w:rPr>
        <w:t>：汉阴县月河工业园区是陕西省政府2008年首批批准成立的重点县域工业园区和陕西省中小企业创业基地。园区分为科技产业聚集区、新型建材产业聚集区、富硒农副产品加工聚集区三个区域，总规划面积1180公顷，主要用于发展新型建材、富硒食品等科技含量高的新兴产业及与工业园区相配套的仓储物流业、服务业。</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月河现代农业园区</w:t>
      </w:r>
      <w:r>
        <w:rPr>
          <w:rFonts w:hint="eastAsia" w:ascii="微软雅黑" w:hAnsi="微软雅黑" w:eastAsia="微软雅黑" w:cs="微软雅黑"/>
          <w:kern w:val="0"/>
          <w:sz w:val="24"/>
          <w:szCs w:val="24"/>
        </w:rPr>
        <w:t>：又名月河生态高效农业示范区，园区以“一村一品”示范工程为抓手，以设施农业为主体，积极发展具有区域特色和自然优势的优质绿色农产品和天然富硒农产品，重点发展生猪生态养殖产业、绿色蔬菜产业、花卉苗木产业、农产品加工业和乡村旅游业。</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现代农业</w:t>
      </w:r>
      <w:r>
        <w:rPr>
          <w:rFonts w:hint="eastAsia" w:ascii="微软雅黑" w:hAnsi="微软雅黑" w:eastAsia="微软雅黑" w:cs="微软雅黑"/>
          <w:kern w:val="0"/>
          <w:sz w:val="24"/>
          <w:szCs w:val="24"/>
        </w:rPr>
        <w:t>：是指用现代物质条件装备农业，用现代科学技术改造农业，用现代产业体系提升农业，用现代经营形式发展农业，用现代新型农民推进农业，用现代发展理念引领农业，提高农业水利化、机械化和信息化水平，提高土地产出率和劳动生产率，提高农业效益和竞争力。</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设施蔬菜</w:t>
      </w:r>
      <w:r>
        <w:rPr>
          <w:rFonts w:hint="eastAsia" w:ascii="微软雅黑" w:hAnsi="微软雅黑" w:eastAsia="微软雅黑" w:cs="微软雅黑"/>
          <w:kern w:val="0"/>
          <w:sz w:val="24"/>
          <w:szCs w:val="24"/>
        </w:rPr>
        <w:t>：是用一定的设施，在局部范围改善或创造出适宜的气象环境因素，为蔬菜生长发育提供良好的环境条件而进行蔬菜生产。由于蔬菜设施栽培的季节往往是露地生产难以达到的，通常又将其称为反季节栽培、保护地栽培等。采用设施栽培可以达到避免低温、高温暴雨、强光照射等逆境对蔬菜生产的危害，已经被广泛应用于蔬菜育苗、春提前和秋延迟栽培。设施蔬菜属于高投入、高产出、资金、技术、劳动力密集型产业。</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土地流转</w:t>
      </w:r>
      <w:r>
        <w:rPr>
          <w:rFonts w:hint="eastAsia" w:ascii="微软雅黑" w:hAnsi="微软雅黑" w:eastAsia="微软雅黑" w:cs="微软雅黑"/>
          <w:kern w:val="0"/>
          <w:sz w:val="24"/>
          <w:szCs w:val="24"/>
        </w:rPr>
        <w:t>：即土地使用权流转，是指拥有土地承包经营权的农户将土地经营权(使用权)转让给其他农户或经济组织，即保留承包权，转让使用权。</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现代服务业</w:t>
      </w:r>
      <w:r>
        <w:rPr>
          <w:rFonts w:hint="eastAsia" w:ascii="微软雅黑" w:hAnsi="微软雅黑" w:eastAsia="微软雅黑" w:cs="微软雅黑"/>
          <w:kern w:val="0"/>
          <w:sz w:val="24"/>
          <w:szCs w:val="24"/>
        </w:rPr>
        <w:t>：是指在工业化较发达阶段产生的主要依托电子信息等高技术、现代管理理念、经营方式和组织形式而发展起来的服务部门。由基础服务（包括通信服务和信息服务）、生产和市场服务（包括金融、物流、批发、电子商务、农业支撑服务以及中介和咨询等专业服务）、个人消费服务（包括教育、医疗保健、住宿、餐饮、文化娱乐、旅游、房地产、商品零售等）、公共服务（包括政府的公共管理服务、基础教育、公共卫生、医疗以及公益性信息服务等）四部分组成。</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现代物流</w:t>
      </w:r>
      <w:r>
        <w:rPr>
          <w:rFonts w:hint="eastAsia" w:ascii="微软雅黑" w:hAnsi="微软雅黑" w:eastAsia="微软雅黑" w:cs="微软雅黑"/>
          <w:kern w:val="0"/>
          <w:sz w:val="24"/>
          <w:szCs w:val="24"/>
        </w:rPr>
        <w:t>：是将信息、运输、仓储、库存、装卸搬运以及包装等物流活动综合起来的一种新型的集成式管理，其任务是尽可能降低物流的总成本，以最经济的费用，将物从供给地向需求地转移的过程。</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生态旅游</w:t>
      </w:r>
      <w:r>
        <w:rPr>
          <w:rFonts w:hint="eastAsia" w:ascii="微软雅黑" w:hAnsi="微软雅黑" w:eastAsia="微软雅黑" w:cs="微软雅黑"/>
          <w:kern w:val="0"/>
          <w:sz w:val="24"/>
          <w:szCs w:val="24"/>
        </w:rPr>
        <w:t>：以吸收自然和文化知识为取向，尽量减少对生态环境的不利影响，确保旅游资源的可持续利用，将生态环境保护与公众教育同促进地方经济社会发展有机结合的旅游活动。</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月河补水</w:t>
      </w:r>
      <w:r>
        <w:rPr>
          <w:rFonts w:hint="eastAsia" w:ascii="微软雅黑" w:hAnsi="微软雅黑" w:eastAsia="微软雅黑" w:cs="微软雅黑"/>
          <w:kern w:val="0"/>
          <w:sz w:val="24"/>
          <w:szCs w:val="24"/>
        </w:rPr>
        <w:t>：是指从汉江喜河电站库区的尾水端池河最低洄水位修建提水工程，每年调水2.6亿立方米补给月河源头的高梁铺，以解决月河川道地区工农业生产和生活用水缺水的问题。</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“七横六纵”公路网络</w:t>
      </w:r>
      <w:r>
        <w:rPr>
          <w:rFonts w:hint="eastAsia" w:ascii="微软雅黑" w:hAnsi="微软雅黑" w:eastAsia="微软雅黑" w:cs="微软雅黑"/>
          <w:kern w:val="0"/>
          <w:sz w:val="24"/>
          <w:szCs w:val="24"/>
        </w:rPr>
        <w:t>：七横:铁佛寺—双河口—酒店—迎丰，龙垭—观音河，316国道，汉阴—双乳（月南），漩涡—渭溪—汉阳，紫阳—石泉（紫石），燎原—上七—双坪—碾子垭。六纵:上七—叶坪，汉阴—双河口，汉阴—观音河，平梁—酒店，涧池—沈坝，汉阳—双坪。</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南北环线</w:t>
      </w:r>
      <w:r>
        <w:rPr>
          <w:rFonts w:hint="eastAsia" w:ascii="微软雅黑" w:hAnsi="微软雅黑" w:eastAsia="微软雅黑" w:cs="微软雅黑"/>
          <w:kern w:val="0"/>
          <w:sz w:val="24"/>
          <w:szCs w:val="24"/>
        </w:rPr>
        <w:t>：北环线即酒店－观音河－双河口－铁佛寺镇；南环线即漩涡－上七－双坪－汉阳镇。南北环线的建成，使南北两山各乡镇发展的血脉变得畅通，使南北偏僻的乡村不再与世隔绝，使过去汉阴交通线路由树状结构变成了相互交织的网状结构。</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县城内外环线</w:t>
      </w:r>
      <w:r>
        <w:rPr>
          <w:rFonts w:hint="eastAsia" w:ascii="微软雅黑" w:hAnsi="微软雅黑" w:eastAsia="微软雅黑" w:cs="微软雅黑"/>
          <w:kern w:val="0"/>
          <w:sz w:val="24"/>
          <w:szCs w:val="24"/>
        </w:rPr>
        <w:t>：内环指以河堤路、湖滨路为主，东到高速公路转盘、西到二级路接口环绕月河形成的环线；外环指以凤凰大道和北城街东西延伸线为主，东到高速公路入口、西到二级路接口的环县城形成的环线。</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新一轮农村电网升级改造工程</w:t>
      </w:r>
      <w:r>
        <w:rPr>
          <w:rFonts w:hint="eastAsia" w:ascii="微软雅黑" w:hAnsi="微软雅黑" w:eastAsia="微软雅黑" w:cs="微软雅黑"/>
          <w:kern w:val="0"/>
          <w:sz w:val="24"/>
          <w:szCs w:val="24"/>
        </w:rPr>
        <w:t>：国家决定在“十二五”期间，对全国农村电网进行普遍改造，基本建成安全可靠、节能环保、技术先进、管理规范的新型农村电网。一是按照新的建设标准和要求对未改造地区的农村电网进行全面改造。二是对已进行改造但仍存在供电能力不足、供电可靠性较低问题的农村电网，实施升级改造。三是因地制宜地对粮食主产区农田灌溉、农村经济作物和农副产品加工、畜禽水产养殖等供电设施进行改造，满足农业生产用电需要。四是按照统筹城乡发展要求，在实现城乡居民用电同网同价基础上，实现城乡各类用电同网同价，进一步减轻农村用电负担。五是深化农村电力体制改革，全面取消县级电网企业“代管体制”，建立有利于促进农村电力健康发展的体制机制。六是加大资金支持力度。中西部地区农村电网改造升级工程项目资本金主要由中央安排。继续执行每千瓦时电量加收2分钱的政策，专项用于农村电网建设与改造升级工程贷款的还本付息。</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三网融合</w:t>
      </w:r>
      <w:r>
        <w:rPr>
          <w:rFonts w:hint="eastAsia" w:ascii="微软雅黑" w:hAnsi="微软雅黑" w:eastAsia="微软雅黑" w:cs="微软雅黑"/>
          <w:kern w:val="0"/>
          <w:sz w:val="24"/>
          <w:szCs w:val="24"/>
        </w:rPr>
        <w:t>：是指电信网、广播电视网和计算机通信网的相互渗透、互相兼容并逐步整合成为全世界统一的信息通信网络。</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复合生态系统</w:t>
      </w:r>
      <w:r>
        <w:rPr>
          <w:rFonts w:hint="eastAsia" w:ascii="微软雅黑" w:hAnsi="微软雅黑" w:eastAsia="微软雅黑" w:cs="微软雅黑"/>
          <w:kern w:val="0"/>
          <w:sz w:val="24"/>
          <w:szCs w:val="24"/>
        </w:rPr>
        <w:t>：是由人类社会、经济活动和自然条件共同组合而成的生态功能统一体。在社会—经济—自然复合生态系统中，人类是主体，环境部分包括人的栖息劳作环境、区域生态环境及社会文化环境，它们与人类的生存和发展休戚相关，具有生产、生活、供给、接纳、控制和缓冲功能，构成错综复杂的生态关系。</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生态移民</w:t>
      </w:r>
      <w:r>
        <w:rPr>
          <w:rFonts w:hint="eastAsia" w:ascii="微软雅黑" w:hAnsi="微软雅黑" w:eastAsia="微软雅黑" w:cs="微软雅黑"/>
          <w:kern w:val="0"/>
          <w:sz w:val="24"/>
          <w:szCs w:val="24"/>
        </w:rPr>
        <w:t>：是指为了保护某个地区特殊的生态或让某个地区的生态得到修复而进行的移民行为，也指因自然环境恶劣，不具备就地扶贫的条件而将当地人民整体迁出的移民。</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生态补偿机制</w:t>
      </w:r>
      <w:r>
        <w:rPr>
          <w:rFonts w:hint="eastAsia" w:ascii="微软雅黑" w:hAnsi="微软雅黑" w:eastAsia="微软雅黑" w:cs="微软雅黑"/>
          <w:kern w:val="0"/>
          <w:sz w:val="24"/>
          <w:szCs w:val="24"/>
        </w:rPr>
        <w:t>：是指以保护生态环境、促进人与自然和谐为目的，根据生态系统服务价值、生态保护成本、发展机会成本，综合运用行政和市场手段，调整生态环境保护和建设相关各方之间利益关系的环境经济政策。主要针对区域性生态保护和环境污染防治领域，是一项具有经济激励作用、与“污染者付费”原则并存、基于“受益者付费和破</w:t>
      </w:r>
      <w:r>
        <w:rPr>
          <w:rFonts w:hint="eastAsia" w:ascii="微软雅黑" w:hAnsi="微软雅黑" w:eastAsia="微软雅黑" w:cs="微软雅黑"/>
          <w:kern w:val="0"/>
          <w:sz w:val="24"/>
          <w:szCs w:val="24"/>
          <w:lang w:val="en-US" w:eastAsia="zh-CN"/>
        </w:rPr>
        <w:t>坏</w:t>
      </w:r>
      <w:bookmarkStart w:id="1" w:name="_GoBack"/>
      <w:bookmarkEnd w:id="1"/>
      <w:r>
        <w:rPr>
          <w:rFonts w:hint="eastAsia" w:ascii="微软雅黑" w:hAnsi="微软雅黑" w:eastAsia="微软雅黑" w:cs="微软雅黑"/>
          <w:kern w:val="0"/>
          <w:sz w:val="24"/>
          <w:szCs w:val="24"/>
        </w:rPr>
        <w:t>者付费”原则的环境经济政策。</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公共财政</w:t>
      </w:r>
      <w:r>
        <w:rPr>
          <w:rFonts w:hint="eastAsia" w:ascii="微软雅黑" w:hAnsi="微软雅黑" w:eastAsia="微软雅黑" w:cs="微软雅黑"/>
          <w:kern w:val="0"/>
          <w:sz w:val="24"/>
          <w:szCs w:val="24"/>
        </w:rPr>
        <w:t>：是指国家（政府）集中一部分社会资源，用于为市场提供公共物品和服务，满足社会公共需要的分配活动或经济行为。以满足社会的公共需要为口径界定财政职能范围，并以此构建政府的财政收支体系。这种为满足社会公共需要而构建的政府收支活动模式或财政运行机制模式，在理论上被称为“公共财政”。</w:t>
      </w:r>
    </w:p>
    <w:p>
      <w:pPr>
        <w:numPr>
          <w:ilvl w:val="0"/>
          <w:numId w:val="1"/>
        </w:numPr>
        <w:tabs>
          <w:tab w:val="left" w:pos="540"/>
          <w:tab w:val="left" w:pos="720"/>
          <w:tab w:val="left" w:pos="854"/>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基本公共服务均等化</w:t>
      </w:r>
      <w:r>
        <w:rPr>
          <w:rFonts w:hint="eastAsia" w:ascii="微软雅黑" w:hAnsi="微软雅黑" w:eastAsia="微软雅黑" w:cs="微软雅黑"/>
          <w:kern w:val="0"/>
          <w:sz w:val="24"/>
          <w:szCs w:val="24"/>
        </w:rPr>
        <w:t>：是公共财政的基本目标之一，它是指政府要为社会公众提供基本的、在不同阶段上具有不同标准的、最终大致均等的公共物品和公共服务。基本公共服务均等化的主要实现手段是政府间转移支付制度。</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城镇居民基本养老保险</w:t>
      </w:r>
      <w:r>
        <w:rPr>
          <w:rFonts w:hint="eastAsia" w:ascii="微软雅黑" w:hAnsi="微软雅黑" w:eastAsia="微软雅黑" w:cs="微软雅黑"/>
          <w:kern w:val="0"/>
          <w:sz w:val="24"/>
          <w:szCs w:val="24"/>
        </w:rPr>
        <w:t>：对未参加城镇职工基本养老保险和事业单位职工基本养老保险的城镇居民实行的基本养老保险。</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新型农村社会基本养老保险</w:t>
      </w:r>
      <w:r>
        <w:rPr>
          <w:rFonts w:hint="eastAsia" w:ascii="微软雅黑" w:hAnsi="微软雅黑" w:eastAsia="微软雅黑" w:cs="微软雅黑"/>
          <w:kern w:val="0"/>
          <w:sz w:val="24"/>
          <w:szCs w:val="24"/>
        </w:rPr>
        <w:t>：采取社会统筹与个人账户相结合的基本模式和个人缴费、集体补助、政府补贴相结合的筹资方式。年满16周岁、不是在校学生、未参加城镇职工基本养老保险的农村居民均可参加新型农村社会养老保险。年满60周岁、符合相关条件的参保农民可领取基本养老金。</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保障性住房</w:t>
      </w:r>
      <w:r>
        <w:rPr>
          <w:rFonts w:hint="eastAsia" w:ascii="微软雅黑" w:hAnsi="微软雅黑" w:eastAsia="微软雅黑" w:cs="微软雅黑"/>
          <w:kern w:val="0"/>
          <w:sz w:val="24"/>
          <w:szCs w:val="24"/>
        </w:rPr>
        <w:t>：是与商品性住房（简称商品房）相对应的一个概念，是指政府为中低收入住房困难家庭所提供的限定标准、限定价格或租金的住房。</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廉租房</w:t>
      </w:r>
      <w:r>
        <w:rPr>
          <w:rFonts w:hint="eastAsia" w:ascii="微软雅黑" w:hAnsi="微软雅黑" w:eastAsia="微软雅黑" w:cs="微软雅黑"/>
          <w:kern w:val="0"/>
          <w:sz w:val="24"/>
          <w:szCs w:val="24"/>
        </w:rPr>
        <w:t>：是指政府以租金补贴或实物配租的方式，向符合城镇居民最低生活保障标准且住房困难的家庭提供社会保障性质的住房。廉租房的分配形式以租金补贴为主，实物配租和租金减免为辅。</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农家书屋</w:t>
      </w:r>
      <w:r>
        <w:rPr>
          <w:rFonts w:hint="eastAsia" w:ascii="微软雅黑" w:hAnsi="微软雅黑" w:eastAsia="微软雅黑" w:cs="微软雅黑"/>
          <w:kern w:val="0"/>
          <w:sz w:val="24"/>
          <w:szCs w:val="24"/>
        </w:rPr>
        <w:t>：是为满足农民文化需要，在行政村建立的、农民自己管理的、能提供农民实用的书报刊和音像电子产品阅读视听条件的公益性文化服务设施。每一个农家书屋原则上可供借阅的实用图书不少于1000册，报刊不少于30种，电子音像制品不少于100种（张），具备条件的地区，可增加一定比例的网络图书、网络报纸、网络期刊等出版物。</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人人技能工程</w:t>
      </w:r>
      <w:r>
        <w:rPr>
          <w:rFonts w:hint="eastAsia" w:ascii="微软雅黑" w:hAnsi="微软雅黑" w:eastAsia="微软雅黑" w:cs="微软雅黑"/>
          <w:kern w:val="0"/>
          <w:sz w:val="24"/>
          <w:szCs w:val="24"/>
        </w:rPr>
        <w:t>：即面向全县初、高中毕业生（包括未升学的初、高中毕业生），实施全口径、广覆盖的职业教育和技能培训，努力使劳动者人人有知识、个个有技能，全面提高城乡新增劳动力的技能水平和就业能力，满足经济社会发展对职业技能人才需求。</w:t>
      </w:r>
    </w:p>
    <w:p>
      <w:pPr>
        <w:numPr>
          <w:ilvl w:val="0"/>
          <w:numId w:val="1"/>
        </w:numPr>
        <w:tabs>
          <w:tab w:val="left" w:pos="900"/>
          <w:tab w:val="clear" w:pos="420"/>
        </w:tabs>
        <w:ind w:left="0"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双高普九</w:t>
      </w:r>
      <w:r>
        <w:rPr>
          <w:rFonts w:hint="eastAsia" w:ascii="微软雅黑" w:hAnsi="微软雅黑" w:eastAsia="微软雅黑" w:cs="微软雅黑"/>
          <w:kern w:val="0"/>
          <w:sz w:val="24"/>
          <w:szCs w:val="24"/>
        </w:rPr>
        <w:t>：高水平、高质量普及九年制义务教育。</w:t>
      </w:r>
    </w:p>
    <w:p>
      <w:pPr>
        <w:tabs>
          <w:tab w:val="left" w:pos="900"/>
        </w:tabs>
        <w:rPr>
          <w:rFonts w:hint="eastAsia" w:ascii="楷体_GB2312" w:eastAsia="楷体_GB2312"/>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0754D"/>
    <w:multiLevelType w:val="multilevel"/>
    <w:tmpl w:val="6330754D"/>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07DE1"/>
    <w:rsid w:val="0B807DE1"/>
    <w:rsid w:val="6C17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2022-02-18T09:30:00Z</dcterms:created>
  <dc:creator>橘子软糖</dc:creator>
  <cp:lastModifiedBy>橘子软糖</cp:lastModifiedBy>
  <dcterms:modified xsi:type="dcterms:W3CDTF">2022-03-16T09:52:20Z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