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0"/>
        <w:rPr>
          <w:rFonts w:ascii="方正小标宋简体" w:hAnsi="方正小标宋简体" w:eastAsia="方正小标宋简体" w:cs="宋体"/>
          <w:color w:val="363636"/>
          <w:kern w:val="36"/>
          <w:sz w:val="44"/>
          <w:szCs w:val="44"/>
        </w:rPr>
      </w:pPr>
      <w:r>
        <w:rPr>
          <w:rFonts w:hint="eastAsia" w:ascii="方正小标宋简体" w:hAnsi="方正小标宋简体" w:eastAsia="方正小标宋简体" w:cs="宋体"/>
          <w:color w:val="363636"/>
          <w:kern w:val="36"/>
          <w:sz w:val="44"/>
          <w:szCs w:val="44"/>
        </w:rPr>
        <w:t>汉阴县卫生健康局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0"/>
        <w:rPr>
          <w:rFonts w:ascii="方正小标宋简体" w:hAnsi="方正小标宋简体" w:eastAsia="方正小标宋简体" w:cs="宋体"/>
          <w:color w:val="363636"/>
          <w:kern w:val="36"/>
          <w:sz w:val="44"/>
          <w:szCs w:val="44"/>
        </w:rPr>
      </w:pPr>
      <w:r>
        <w:rPr>
          <w:rFonts w:hint="eastAsia" w:ascii="方正小标宋简体" w:hAnsi="方正小标宋简体" w:eastAsia="方正小标宋简体" w:cs="宋体"/>
          <w:color w:val="363636"/>
          <w:kern w:val="36"/>
          <w:sz w:val="44"/>
          <w:szCs w:val="44"/>
        </w:rPr>
        <w:t>202</w:t>
      </w:r>
      <w:r>
        <w:rPr>
          <w:rFonts w:ascii="方正小标宋简体" w:hAnsi="方正小标宋简体" w:eastAsia="方正小标宋简体" w:cs="宋体"/>
          <w:color w:val="363636"/>
          <w:kern w:val="36"/>
          <w:sz w:val="44"/>
          <w:szCs w:val="44"/>
        </w:rPr>
        <w:t>1</w:t>
      </w:r>
      <w:r>
        <w:rPr>
          <w:rFonts w:hint="eastAsia" w:ascii="方正小标宋简体" w:hAnsi="方正小标宋简体" w:eastAsia="方正小标宋简体" w:cs="宋体"/>
          <w:color w:val="363636"/>
          <w:kern w:val="36"/>
          <w:sz w:val="44"/>
          <w:szCs w:val="44"/>
        </w:rPr>
        <w:t>年</w:t>
      </w:r>
      <w:r>
        <w:rPr>
          <w:rFonts w:hint="eastAsia" w:ascii="方正小标宋简体" w:hAnsi="方正小标宋简体" w:eastAsia="方正小标宋简体" w:cs="宋体"/>
          <w:color w:val="363636"/>
          <w:kern w:val="36"/>
          <w:sz w:val="44"/>
          <w:szCs w:val="44"/>
          <w:lang w:val="en-US" w:eastAsia="zh-CN"/>
        </w:rPr>
        <w:t>度</w:t>
      </w:r>
      <w:r>
        <w:rPr>
          <w:rFonts w:hint="eastAsia" w:ascii="方正小标宋简体" w:hAnsi="方正小标宋简体" w:eastAsia="方正小标宋简体" w:cs="宋体"/>
          <w:color w:val="363636"/>
          <w:kern w:val="36"/>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center"/>
        <w:textAlignment w:val="auto"/>
        <w:outlineLvl w:val="0"/>
        <w:rPr>
          <w:rFonts w:cs="宋体" w:asciiTheme="majorEastAsia" w:hAnsiTheme="majorEastAsia" w:eastAsiaTheme="majorEastAsia"/>
          <w:color w:val="363636"/>
          <w:kern w:val="36"/>
          <w:sz w:val="44"/>
          <w:szCs w:val="44"/>
        </w:rPr>
      </w:pPr>
      <w:bookmarkStart w:id="0" w:name="_GoBack"/>
      <w:bookmarkEnd w:id="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方正仿宋简体" w:hAnsi="方正仿宋简体" w:eastAsia="方正仿宋简体"/>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本年度报告根据《中华人民共和国政府信息公开条例》(国务院令第711号修订，以下简称《条例》)和《国务院办公厅政府信息与政务公开办公室关于印发中华人民共和国政府信息公开工作年度报告格式的通知》（国办公开办函</w:t>
      </w:r>
      <w:r>
        <w:rPr>
          <w:rFonts w:hint="eastAsia" w:ascii="仿宋_GB2312" w:hAnsi="仿宋_GB2312" w:eastAsia="仿宋_GB2312" w:cs="仿宋_GB2312"/>
          <w:color w:val="333333"/>
          <w:sz w:val="32"/>
          <w:szCs w:val="32"/>
          <w:shd w:val="clear" w:color="auto" w:fill="FFFFFF"/>
        </w:rPr>
        <w:t>〔2021〕30号，以下简称《通知》</w:t>
      </w:r>
      <w:r>
        <w:rPr>
          <w:rFonts w:hint="eastAsia" w:ascii="仿宋_GB2312" w:hAnsi="仿宋_GB2312" w:eastAsia="仿宋_GB2312" w:cs="仿宋_GB2312"/>
          <w:color w:val="424242"/>
          <w:sz w:val="32"/>
          <w:szCs w:val="32"/>
          <w:shd w:val="clear" w:color="auto" w:fill="FFFFFF"/>
        </w:rPr>
        <w:t>）有关规定进行编制，本报告由总体情况，主动公开政府信息情况，收到和处理政府信息公开申请情况，政府信息公开行政复议、行政诉讼情况，存在的主要问题及改进情况，其他需要报告的事项六部分组成。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olor w:val="424242"/>
          <w:sz w:val="32"/>
          <w:szCs w:val="32"/>
          <w:shd w:val="clear" w:color="auto" w:fill="FFFFFF"/>
        </w:rPr>
      </w:pPr>
      <w:r>
        <w:rPr>
          <w:rFonts w:hint="eastAsia" w:ascii="黑体" w:hAnsi="黑体" w:eastAsia="黑体"/>
          <w:color w:val="424242"/>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2021年，汉阴县卫生健康局在县委、县政府的领导下，根据《条例》要求，以习近平新时代中国特色社会主义思想为指导思想，深入学习贯彻党的十九大和十九届二中、三中、四中、五中、六中全会精神以及习近平总书记来陕来安考察重要讲话，紧紧围绕汉阴县卫生健康问题，坚持以公开为常态、不公开为例外原则，着力提升政务公开标准化和规范化水平,全面做好政府信息公开工作，扎实推进政务公开工作，把政务公开工作与卫生健康行政工作紧密结合，同部署、同检查、同考核。着力强化公开、解读、发布、互动，积极打造政府网站、政务新媒体等平台建设，全面提升公开质量和实效，持续推进政府信息公开工作。</w:t>
      </w:r>
    </w:p>
    <w:p>
      <w:pPr>
        <w:keepNext w:val="0"/>
        <w:keepLines w:val="0"/>
        <w:pageBreakBefore w:val="0"/>
        <w:kinsoku/>
        <w:wordWrap/>
        <w:overflowPunct/>
        <w:topLinePunct w:val="0"/>
        <w:autoSpaceDE/>
        <w:autoSpaceDN/>
        <w:bidi w:val="0"/>
        <w:adjustRightInd/>
        <w:snapToGrid/>
        <w:spacing w:line="580" w:lineRule="exact"/>
        <w:ind w:left="640"/>
        <w:textAlignment w:val="auto"/>
        <w:rPr>
          <w:rFonts w:hint="eastAsia" w:ascii="楷体_GB2312" w:hAnsi="楷体_GB2312" w:eastAsia="楷体_GB2312" w:cs="楷体_GB2312"/>
          <w:color w:val="424242"/>
          <w:sz w:val="32"/>
          <w:szCs w:val="32"/>
          <w:shd w:val="clear" w:color="auto" w:fill="FFFFFF"/>
        </w:rPr>
      </w:pPr>
      <w:r>
        <w:rPr>
          <w:rFonts w:hint="eastAsia" w:ascii="楷体_GB2312" w:hAnsi="楷体_GB2312" w:eastAsia="楷体_GB2312" w:cs="楷体_GB2312"/>
          <w:color w:val="424242"/>
          <w:sz w:val="32"/>
          <w:szCs w:val="32"/>
          <w:shd w:val="clear" w:color="auto" w:fill="FFFFFF"/>
        </w:rPr>
        <w:t>（一）主动公开政府信息情况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方正仿宋简体" w:hAnsi="方正仿宋简体" w:eastAsia="方正仿宋简体" w:cstheme="majorHAnsi"/>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2021年度，一是我局借助县政府门户网站累计发布卫生健康信息40条。其中，招考录用1条，公示公告4条，政协委员提案9条，政府采购6条，医疗机构信息2条，年报2条，惠农惠民政策资金2条，预决算公开4条，人大代表建议4条，卫生监督6条。二是我局聚焦疫情防控，配合县政府发布疫情防控方面的公共卫生信息138条，方便公众了解疫情防控情况，做好个人防护。</w:t>
      </w:r>
    </w:p>
    <w:p>
      <w:pPr>
        <w:keepNext w:val="0"/>
        <w:keepLines w:val="0"/>
        <w:pageBreakBefore w:val="0"/>
        <w:kinsoku/>
        <w:wordWrap/>
        <w:overflowPunct/>
        <w:topLinePunct w:val="0"/>
        <w:autoSpaceDE/>
        <w:autoSpaceDN/>
        <w:bidi w:val="0"/>
        <w:adjustRightInd/>
        <w:snapToGrid/>
        <w:spacing w:line="580" w:lineRule="exact"/>
        <w:ind w:left="640"/>
        <w:textAlignment w:val="auto"/>
        <w:rPr>
          <w:rFonts w:hint="eastAsia" w:ascii="楷体_GB2312" w:hAnsi="楷体_GB2312" w:eastAsia="楷体_GB2312" w:cs="楷体_GB2312"/>
          <w:color w:val="424242"/>
          <w:sz w:val="32"/>
          <w:szCs w:val="32"/>
          <w:shd w:val="clear" w:color="auto" w:fill="FFFFFF"/>
        </w:rPr>
      </w:pPr>
      <w:r>
        <w:rPr>
          <w:rFonts w:hint="eastAsia" w:ascii="楷体_GB2312" w:hAnsi="楷体_GB2312" w:eastAsia="楷体_GB2312" w:cs="楷体_GB2312"/>
          <w:color w:val="424242"/>
          <w:sz w:val="32"/>
          <w:szCs w:val="32"/>
          <w:shd w:val="clear" w:color="auto" w:fill="FFFFFF"/>
        </w:rPr>
        <w:t>（二）依申请政府信息公开情况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2021年度我局未收到政府信息公开申请。</w:t>
      </w:r>
    </w:p>
    <w:p>
      <w:pPr>
        <w:keepNext w:val="0"/>
        <w:keepLines w:val="0"/>
        <w:pageBreakBefore w:val="0"/>
        <w:kinsoku/>
        <w:wordWrap/>
        <w:overflowPunct/>
        <w:topLinePunct w:val="0"/>
        <w:autoSpaceDE/>
        <w:autoSpaceDN/>
        <w:bidi w:val="0"/>
        <w:adjustRightInd/>
        <w:snapToGrid/>
        <w:spacing w:line="580" w:lineRule="exact"/>
        <w:ind w:left="640"/>
        <w:textAlignment w:val="auto"/>
        <w:rPr>
          <w:rFonts w:hint="eastAsia" w:ascii="楷体_GB2312" w:hAnsi="楷体_GB2312" w:eastAsia="楷体_GB2312" w:cs="楷体_GB2312"/>
          <w:color w:val="424242"/>
          <w:sz w:val="32"/>
          <w:szCs w:val="32"/>
          <w:shd w:val="clear" w:color="auto" w:fill="FFFFFF"/>
        </w:rPr>
      </w:pPr>
      <w:r>
        <w:rPr>
          <w:rFonts w:hint="eastAsia" w:ascii="楷体_GB2312" w:hAnsi="楷体_GB2312" w:eastAsia="楷体_GB2312" w:cs="楷体_GB2312"/>
          <w:color w:val="424242"/>
          <w:sz w:val="32"/>
          <w:szCs w:val="32"/>
          <w:shd w:val="clear" w:color="auto" w:fill="FFFFFF"/>
        </w:rPr>
        <w:t>（三）政府信息管理情况</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424242"/>
          <w:sz w:val="32"/>
          <w:szCs w:val="32"/>
          <w:shd w:val="clear" w:color="auto" w:fill="FFFFFF"/>
        </w:rPr>
      </w:pPr>
      <w:r>
        <w:rPr>
          <w:rFonts w:hint="eastAsia" w:ascii="楷体" w:hAnsi="楷体" w:eastAsia="楷体" w:cstheme="majorHAnsi"/>
          <w:b/>
          <w:bCs/>
          <w:color w:val="424242"/>
          <w:sz w:val="32"/>
          <w:szCs w:val="32"/>
          <w:shd w:val="clear" w:color="auto" w:fill="FFFFFF"/>
        </w:rPr>
        <w:t xml:space="preserve"> </w:t>
      </w:r>
      <w:r>
        <w:rPr>
          <w:rFonts w:hint="eastAsia" w:ascii="仿宋_GB2312" w:hAnsi="仿宋_GB2312" w:eastAsia="仿宋_GB2312" w:cs="仿宋_GB2312"/>
          <w:b/>
          <w:bCs/>
          <w:color w:val="424242"/>
          <w:sz w:val="32"/>
          <w:szCs w:val="32"/>
          <w:shd w:val="clear" w:color="auto" w:fill="FFFFFF"/>
        </w:rPr>
        <w:t xml:space="preserve">  </w:t>
      </w:r>
      <w:r>
        <w:rPr>
          <w:rFonts w:hint="eastAsia" w:ascii="仿宋_GB2312" w:hAnsi="仿宋_GB2312" w:eastAsia="仿宋_GB2312" w:cs="仿宋_GB2312"/>
          <w:color w:val="424242"/>
          <w:sz w:val="32"/>
          <w:szCs w:val="32"/>
          <w:shd w:val="clear" w:color="auto" w:fill="FFFFFF"/>
        </w:rPr>
        <w:t xml:space="preserve"> 一是加强组织领导。成立有信息公开工作领导小组，由政办股、医政股、公卫股、医改股、老龄健康股、爱卫办、项目办主要责任人组成，共同负责政府信息发布、依申请公开受理、政府信息咨询等方面的联络协调工作，确保责任到人，常抓不懈。</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　　二是健全相关制度，进一步完善了信息公开制度、信息公开指南及依申请公开办理流程，确保信息公开工作有据可依。</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　　三是理顺工作流程，严格执行审批流程，确保政务信息</w:t>
      </w:r>
      <w:r>
        <w:rPr>
          <w:rFonts w:hint="eastAsia" w:ascii="仿宋_GB2312" w:hAnsi="仿宋_GB2312" w:eastAsia="仿宋_GB2312" w:cs="仿宋_GB2312"/>
          <w:color w:val="424242"/>
          <w:sz w:val="32"/>
          <w:szCs w:val="32"/>
          <w:shd w:val="clear" w:color="auto" w:fill="FFFFFF"/>
          <w:lang w:eastAsia="zh-CN"/>
        </w:rPr>
        <w:t>发布得及时</w:t>
      </w:r>
      <w:r>
        <w:rPr>
          <w:rFonts w:hint="eastAsia" w:ascii="仿宋_GB2312" w:hAnsi="仿宋_GB2312" w:eastAsia="仿宋_GB2312" w:cs="仿宋_GB2312"/>
          <w:color w:val="424242"/>
          <w:sz w:val="32"/>
          <w:szCs w:val="32"/>
          <w:shd w:val="clear" w:color="auto" w:fill="FFFFFF"/>
        </w:rPr>
        <w:t>、全面、准确。</w:t>
      </w:r>
    </w:p>
    <w:p>
      <w:pPr>
        <w:keepNext w:val="0"/>
        <w:keepLines w:val="0"/>
        <w:pageBreakBefore w:val="0"/>
        <w:kinsoku/>
        <w:wordWrap/>
        <w:overflowPunct/>
        <w:topLinePunct w:val="0"/>
        <w:autoSpaceDE/>
        <w:autoSpaceDN/>
        <w:bidi w:val="0"/>
        <w:adjustRightInd/>
        <w:snapToGrid/>
        <w:spacing w:line="580" w:lineRule="exact"/>
        <w:textAlignment w:val="auto"/>
        <w:rPr>
          <w:rFonts w:ascii="楷体" w:hAnsi="楷体" w:eastAsia="楷体" w:cstheme="majorHAnsi"/>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　　四是加强人员培训，结合人员变动情况，及时更新宣传及政务公开人员信息，组织相关人员开展专题业务培训，精心研读最新政府信息政策法规，提升工作人员能力。</w:t>
      </w:r>
    </w:p>
    <w:p>
      <w:pPr>
        <w:keepNext w:val="0"/>
        <w:keepLines w:val="0"/>
        <w:pageBreakBefore w:val="0"/>
        <w:kinsoku/>
        <w:wordWrap/>
        <w:overflowPunct/>
        <w:topLinePunct w:val="0"/>
        <w:autoSpaceDE/>
        <w:autoSpaceDN/>
        <w:bidi w:val="0"/>
        <w:adjustRightInd/>
        <w:snapToGrid/>
        <w:spacing w:line="580" w:lineRule="exact"/>
        <w:ind w:left="640"/>
        <w:textAlignment w:val="auto"/>
        <w:rPr>
          <w:rFonts w:hint="eastAsia" w:ascii="楷体_GB2312" w:hAnsi="楷体_GB2312" w:eastAsia="楷体_GB2312" w:cs="楷体_GB2312"/>
          <w:color w:val="424242"/>
          <w:sz w:val="32"/>
          <w:szCs w:val="32"/>
          <w:shd w:val="clear" w:color="auto" w:fill="FFFFFF"/>
        </w:rPr>
      </w:pPr>
      <w:r>
        <w:rPr>
          <w:rFonts w:hint="eastAsia" w:ascii="楷体_GB2312" w:hAnsi="楷体_GB2312" w:eastAsia="楷体_GB2312" w:cs="楷体_GB2312"/>
          <w:color w:val="424242"/>
          <w:sz w:val="32"/>
          <w:szCs w:val="32"/>
          <w:shd w:val="clear" w:color="auto" w:fill="FFFFFF"/>
        </w:rPr>
        <w:t>（四）政府信息公开平台建设</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我局主要通过汉阴县政府网站开展政府信息公开工作，无新增信息公开平台。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（五）监督保障情况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一直以来，我局主动接受社会监督，局党组主要负责同志高度重视政府信息公开工作开展情况，要求分管政府信息公开工作领导要切实加强对政务公开工作的日常监督检查。2021年来我局积极配合开展政府信息公开考核工作，全年没有受到因公开不及时、发布错误言论信息而受到通报批评的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二、主动公开政府信息情况</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firstLineChars="200"/>
        <w:textAlignment w:val="auto"/>
        <w:rPr>
          <w:rFonts w:ascii="黑体" w:hAnsi="黑体" w:eastAsia="黑体" w:cs="宋体"/>
          <w:b/>
          <w:bCs/>
          <w:color w:val="333333"/>
          <w:kern w:val="0"/>
          <w:sz w:val="32"/>
          <w:szCs w:val="32"/>
        </w:rPr>
      </w:pP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85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宋体" w:hAnsi="宋体" w:cs="宋体"/>
                <w:b w:val="0"/>
                <w:bCs w:val="0"/>
                <w:sz w:val="28"/>
                <w:szCs w:val="28"/>
              </w:rPr>
            </w:pPr>
            <w:r>
              <w:rPr>
                <w:rFonts w:hint="eastAsia" w:ascii="方正黑体简体" w:eastAsia="方正黑体简体"/>
                <w:b w:val="0"/>
                <w:bCs w:val="0"/>
                <w:sz w:val="28"/>
                <w:szCs w:val="28"/>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cs="Times New Roman"/>
                <w:b w:val="0"/>
                <w:bCs w:val="0"/>
                <w:sz w:val="24"/>
                <w:szCs w:val="22"/>
              </w:rPr>
            </w:pPr>
            <w:r>
              <w:rPr>
                <w:rFonts w:hint="eastAsia" w:ascii="Times New Roman" w:hAnsi="Times New Roman" w:eastAsia="方正仿宋简体"/>
                <w:b w:val="0"/>
                <w:bCs w:val="0"/>
                <w:sz w:val="24"/>
                <w:szCs w:val="22"/>
              </w:rPr>
              <w:t>信息内容</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本年制发件数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本年废止件数</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规章</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行政规范性文件</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5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方正黑体简体" w:eastAsia="方正黑体简体"/>
                <w:b w:val="0"/>
                <w:bCs w:val="0"/>
                <w:sz w:val="28"/>
                <w:szCs w:val="28"/>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信息内容</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行政许可</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5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方正黑体简体" w:eastAsia="方正黑体简体"/>
                <w:b w:val="0"/>
                <w:bCs w:val="0"/>
                <w:sz w:val="28"/>
                <w:szCs w:val="28"/>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信息内容</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行政处罚</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行政强制</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52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方正黑体简体" w:eastAsia="方正黑体简体"/>
                <w:b w:val="0"/>
                <w:bCs w:val="0"/>
                <w:sz w:val="28"/>
                <w:szCs w:val="28"/>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信息内容</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textAlignment w:val="auto"/>
              <w:rPr>
                <w:rFonts w:ascii="Times New Roman" w:hAnsi="Times New Roman" w:eastAsia="方正仿宋简体"/>
                <w:b w:val="0"/>
                <w:bCs w:val="0"/>
                <w:sz w:val="24"/>
                <w:szCs w:val="22"/>
              </w:rPr>
            </w:pPr>
            <w:r>
              <w:rPr>
                <w:rFonts w:hint="eastAsia" w:ascii="Times New Roman" w:hAnsi="Times New Roman" w:eastAsia="方正仿宋简体"/>
                <w:b w:val="0"/>
                <w:bCs w:val="0"/>
                <w:sz w:val="24"/>
                <w:szCs w:val="22"/>
              </w:rPr>
              <w:t>行政事业性收费</w:t>
            </w:r>
          </w:p>
        </w:tc>
        <w:tc>
          <w:tcPr>
            <w:tcW w:w="639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Times New Roman" w:hAnsi="Times New Roman" w:eastAsia="方正仿宋简体"/>
                <w:b w:val="0"/>
                <w:bCs w:val="0"/>
                <w:sz w:val="24"/>
                <w:szCs w:val="22"/>
              </w:rPr>
            </w:pPr>
            <w:r>
              <w:rPr>
                <w:rFonts w:ascii="Times New Roman" w:hAnsi="Times New Roman" w:eastAsia="方正仿宋简体"/>
                <w:b w:val="0"/>
                <w:bCs w:val="0"/>
                <w:sz w:val="24"/>
                <w:szCs w:val="22"/>
              </w:rPr>
              <w:t>0</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方正仿宋简体" w:hAnsi="方正仿宋简体" w:eastAsia="方正仿宋简体" w:cstheme="majorHAnsi"/>
          <w:color w:val="424242"/>
          <w:sz w:val="32"/>
          <w:szCs w:val="32"/>
          <w:shd w:val="clear" w:color="auto" w:fill="FFFFFF"/>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r>
        <w:rPr>
          <w:rFonts w:hint="eastAsia" w:ascii="黑体" w:hAnsi="黑体" w:eastAsia="黑体" w:cstheme="majorHAnsi"/>
          <w:color w:val="424242"/>
          <w:sz w:val="32"/>
          <w:szCs w:val="32"/>
          <w:shd w:val="clear" w:color="auto" w:fill="FFFFFF"/>
        </w:rPr>
        <w:t>三、收到和处理政府信息公开申请情况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40"/>
        <w:gridCol w:w="22"/>
        <w:gridCol w:w="3082"/>
        <w:gridCol w:w="630"/>
        <w:gridCol w:w="570"/>
        <w:gridCol w:w="480"/>
        <w:gridCol w:w="720"/>
        <w:gridCol w:w="705"/>
        <w:gridCol w:w="480"/>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0"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楷体" w:hAnsi="楷体" w:eastAsia="楷体" w:cs="方正仿宋简体"/>
                <w:sz w:val="24"/>
              </w:rPr>
            </w:pPr>
            <w:r>
              <w:rPr>
                <w:rFonts w:hint="eastAsia" w:ascii="楷体" w:hAnsi="楷体" w:eastAsia="楷体" w:cs="方正仿宋简体"/>
                <w:sz w:val="24"/>
              </w:rPr>
              <w:t>（本列数据的勾稽关系为：第一项加第二项之和，等于第三项加第四项之和）</w:t>
            </w:r>
          </w:p>
        </w:tc>
        <w:tc>
          <w:tcPr>
            <w:tcW w:w="404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80"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自然人</w:t>
            </w:r>
          </w:p>
        </w:tc>
        <w:tc>
          <w:tcPr>
            <w:tcW w:w="29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法人或其他组织</w:t>
            </w:r>
          </w:p>
        </w:tc>
        <w:tc>
          <w:tcPr>
            <w:tcW w:w="45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480"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商业企业</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科研机构</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社会公益组织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法律服务机构</w:t>
            </w: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w:t>
            </w:r>
          </w:p>
        </w:tc>
        <w:tc>
          <w:tcPr>
            <w:tcW w:w="45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4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一、本年新收政府信息公开申请数量</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44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二、上年结转政府信息公开申请数量</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3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三、本年度办理结果</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（一）予以公开</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9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（二）部分公开</w:t>
            </w:r>
            <w:r>
              <w:rPr>
                <w:rFonts w:hint="eastAsia" w:ascii="楷体" w:hAnsi="楷体" w:eastAsia="楷体" w:cs="方正仿宋简体"/>
                <w:sz w:val="24"/>
              </w:rPr>
              <w:t>（区分处理的，只计这一情形，不计其他情形）</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（三）</w:t>
            </w:r>
          </w:p>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不予公开</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1.属于国家秘密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2.其他法律行政法规禁止公开</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3.危及“三安全一稳定”</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4.保护第三方合法权益</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5.属于三类内部事务信息</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6.属于四类过程性信息</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7.属于行政执法案卷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8.属于行政查询事项</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（四）无法提供</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1.本机关不掌握相关政府信息</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2.没有现成信息需要另行制作</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3.补正后申请内容仍不明确</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（五）不予处理</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1.信访举报投诉类申请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2.重复申请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3.要求提供公开出版物</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4.无正当理由大量反复申请</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10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5.要求行政机关确认或重新出具已获取信息</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6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（六）其他处理</w:t>
            </w:r>
          </w:p>
        </w:tc>
        <w:tc>
          <w:tcPr>
            <w:tcW w:w="3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1．申请人无正当理由逾期不补正、行政机关不再处理其政府信息公开申请</w:t>
            </w:r>
          </w:p>
        </w:tc>
        <w:tc>
          <w:tcPr>
            <w:tcW w:w="63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62" w:type="dxa"/>
            <w:gridSpan w:val="2"/>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2</w:t>
            </w:r>
            <w:r>
              <w:rPr>
                <w:rFonts w:ascii="方正仿宋简体" w:hAnsi="方正仿宋简体" w:eastAsia="方正仿宋简体" w:cs="方正仿宋简体"/>
                <w:sz w:val="24"/>
              </w:rPr>
              <w:t>.</w:t>
            </w:r>
            <w:r>
              <w:rPr>
                <w:rFonts w:hint="eastAsia" w:ascii="方正仿宋简体" w:hAnsi="方正仿宋简体" w:eastAsia="方正仿宋简体" w:cs="方正仿宋简体"/>
                <w:sz w:val="24"/>
              </w:rPr>
              <w:t>申请人逾期未按收费通知要求缴纳费用、行政机关不再处理其政府信息公开申请</w:t>
            </w:r>
          </w:p>
        </w:tc>
        <w:tc>
          <w:tcPr>
            <w:tcW w:w="63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53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862"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0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3</w:t>
            </w:r>
            <w:r>
              <w:rPr>
                <w:rFonts w:ascii="方正仿宋简体" w:hAnsi="方正仿宋简体" w:eastAsia="方正仿宋简体" w:cs="方正仿宋简体"/>
                <w:sz w:val="24"/>
              </w:rPr>
              <w:t>.</w:t>
            </w:r>
            <w:r>
              <w:rPr>
                <w:rFonts w:hint="eastAsia" w:ascii="方正仿宋简体" w:hAnsi="方正仿宋简体" w:eastAsia="方正仿宋简体" w:cs="方正仿宋简体"/>
                <w:sz w:val="24"/>
              </w:rPr>
              <w:t>其他</w:t>
            </w:r>
          </w:p>
        </w:tc>
        <w:tc>
          <w:tcPr>
            <w:tcW w:w="63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3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394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（七）总计</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4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四、结转下年度继续办理</w:t>
            </w:r>
          </w:p>
        </w:tc>
        <w:tc>
          <w:tcPr>
            <w:tcW w:w="6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r>
        <w:rPr>
          <w:rFonts w:hint="eastAsia" w:ascii="黑体" w:hAnsi="黑体" w:eastAsia="黑体" w:cstheme="majorHAnsi"/>
          <w:color w:val="424242"/>
          <w:sz w:val="32"/>
          <w:szCs w:val="32"/>
          <w:shd w:val="clear" w:color="auto" w:fill="FFFFFF"/>
        </w:rPr>
        <w:t>四、政府信息公开行政复议、行政诉讼情况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p>
    <w:tbl>
      <w:tblPr>
        <w:tblStyle w:val="3"/>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8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行政复议</w:t>
            </w:r>
          </w:p>
        </w:tc>
        <w:tc>
          <w:tcPr>
            <w:tcW w:w="5682"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567"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结果维持</w:t>
            </w:r>
          </w:p>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p>
        </w:tc>
        <w:tc>
          <w:tcPr>
            <w:tcW w:w="567"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结果纠正</w:t>
            </w:r>
          </w:p>
        </w:tc>
        <w:tc>
          <w:tcPr>
            <w:tcW w:w="568"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其他结果</w:t>
            </w:r>
          </w:p>
        </w:tc>
        <w:tc>
          <w:tcPr>
            <w:tcW w:w="568"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尚未审结</w:t>
            </w:r>
          </w:p>
        </w:tc>
        <w:tc>
          <w:tcPr>
            <w:tcW w:w="568" w:type="dxa"/>
            <w:vMerge w:val="restart"/>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c>
          <w:tcPr>
            <w:tcW w:w="2840"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未经复议直接起诉</w:t>
            </w:r>
          </w:p>
        </w:tc>
        <w:tc>
          <w:tcPr>
            <w:tcW w:w="2842" w:type="dxa"/>
            <w:gridSpan w:val="5"/>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6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p>
        </w:tc>
        <w:tc>
          <w:tcPr>
            <w:tcW w:w="567"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p>
        </w:tc>
        <w:tc>
          <w:tcPr>
            <w:tcW w:w="568"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p>
        </w:tc>
        <w:tc>
          <w:tcPr>
            <w:tcW w:w="568"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p>
        </w:tc>
        <w:tc>
          <w:tcPr>
            <w:tcW w:w="568" w:type="dxa"/>
            <w:vMerge w:val="continue"/>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结果维持</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结果纠正</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其他结果</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尚未审结</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结果维持</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结果纠正</w:t>
            </w:r>
          </w:p>
        </w:tc>
        <w:tc>
          <w:tcPr>
            <w:tcW w:w="56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其他结果</w:t>
            </w:r>
          </w:p>
        </w:tc>
        <w:tc>
          <w:tcPr>
            <w:tcW w:w="56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尚未审结</w:t>
            </w:r>
          </w:p>
        </w:tc>
        <w:tc>
          <w:tcPr>
            <w:tcW w:w="569"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580" w:lineRule="exac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p>
        </w:tc>
        <w:tc>
          <w:tcPr>
            <w:tcW w:w="5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ascii="方正仿宋简体" w:hAnsi="方正仿宋简体" w:eastAsia="方正仿宋简体" w:cs="方正仿宋简体"/>
                <w:sz w:val="24"/>
              </w:rPr>
            </w:pPr>
            <w:r>
              <w:rPr>
                <w:rFonts w:hint="eastAsia" w:ascii="方正仿宋简体" w:hAnsi="方正仿宋简体" w:eastAsia="方正仿宋简体" w:cs="方正仿宋简体"/>
                <w:sz w:val="24"/>
              </w:rPr>
              <w:t>0</w:t>
            </w:r>
          </w:p>
        </w:tc>
      </w:tr>
    </w:tbl>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r>
        <w:rPr>
          <w:rFonts w:hint="eastAsia" w:ascii="黑体" w:hAnsi="黑体" w:eastAsia="黑体" w:cstheme="majorHAnsi"/>
          <w:color w:val="424242"/>
          <w:sz w:val="32"/>
          <w:szCs w:val="32"/>
          <w:shd w:val="clear" w:color="auto" w:fill="FFFFFF"/>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2021年，我局信息公开工作虽然取得了一定的成绩，但也存在信息公开不重视、不主动、不够及时、公开载体不完善、公开渠道比较狭窄等问题。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针对上述问题，我局将从以下几个方面进行改进：一是继续完善政府信息公开相关制度，做好监督检查工作。按照县政府统一部署，认真贯彻落实《中华人民共和国政府信息公开条例》，坚持把公开透明作为政府工作的基本制度、推进医药卫生体制改革发展和计生服务管理改革的基础，完善信息公开制度；二是开展业务培训，提升相关单位领导对此工作政治意义重要性的认识，增强具体管理人员业务能力和水平；</w:t>
      </w:r>
      <w:r>
        <w:rPr>
          <w:rFonts w:hint="eastAsia" w:ascii="仿宋_GB2312" w:hAnsi="仿宋_GB2312" w:eastAsia="仿宋_GB2312" w:cs="仿宋_GB2312"/>
          <w:color w:val="424242"/>
          <w:sz w:val="32"/>
          <w:szCs w:val="32"/>
          <w:shd w:val="clear" w:color="auto" w:fill="FFFFFF"/>
          <w:lang w:eastAsia="zh-CN"/>
        </w:rPr>
        <w:t>二是</w:t>
      </w:r>
      <w:r>
        <w:rPr>
          <w:rFonts w:hint="eastAsia" w:ascii="仿宋_GB2312" w:hAnsi="仿宋_GB2312" w:eastAsia="仿宋_GB2312" w:cs="仿宋_GB2312"/>
          <w:color w:val="424242"/>
          <w:sz w:val="32"/>
          <w:szCs w:val="32"/>
          <w:shd w:val="clear" w:color="auto" w:fill="FFFFFF"/>
        </w:rPr>
        <w:t>做好重点领域信息公开。围绕中心工作、重大决策事项、计生政策宣传、改善医疗服务环境等社会热点问题、民生实事等，缓解群众“看病难、看病贵”等重点领域信息公开，加强重要信息发布，积极回应社会关切，提升政府公信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theme="majorHAnsi"/>
          <w:color w:val="424242"/>
          <w:sz w:val="32"/>
          <w:szCs w:val="32"/>
          <w:shd w:val="clear" w:color="auto" w:fill="FFFFFF"/>
        </w:rPr>
      </w:pPr>
      <w:r>
        <w:rPr>
          <w:rFonts w:hint="eastAsia" w:ascii="黑体" w:hAnsi="黑体" w:eastAsia="黑体" w:cstheme="majorHAnsi"/>
          <w:color w:val="424242"/>
          <w:sz w:val="32"/>
          <w:szCs w:val="32"/>
          <w:shd w:val="clear" w:color="auto" w:fill="FFFFFF"/>
        </w:rPr>
        <w:t>六、其他需要报告的事项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424242"/>
          <w:sz w:val="32"/>
          <w:szCs w:val="32"/>
          <w:shd w:val="clear" w:color="auto" w:fill="FFFFFF"/>
        </w:rPr>
      </w:pPr>
      <w:r>
        <w:rPr>
          <w:rFonts w:hint="eastAsia" w:ascii="仿宋_GB2312" w:hAnsi="仿宋_GB2312" w:eastAsia="仿宋_GB2312" w:cs="仿宋_GB2312"/>
          <w:color w:val="424242"/>
          <w:sz w:val="32"/>
          <w:szCs w:val="32"/>
          <w:shd w:val="clear" w:color="auto" w:fill="FFFFFF"/>
        </w:rPr>
        <w:t>无。</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MGI3NTBhOWRhNGQ1NzM0NDI2NTZlNDkxZjEwNDYwMGMifQ=="/>
  </w:docVars>
  <w:rsids>
    <w:rsidRoot w:val="008B1DB5"/>
    <w:rsid w:val="000F701A"/>
    <w:rsid w:val="000F7497"/>
    <w:rsid w:val="00172468"/>
    <w:rsid w:val="0017324C"/>
    <w:rsid w:val="0017467A"/>
    <w:rsid w:val="001A56E9"/>
    <w:rsid w:val="001D6C44"/>
    <w:rsid w:val="001E6045"/>
    <w:rsid w:val="002009DA"/>
    <w:rsid w:val="0022072F"/>
    <w:rsid w:val="00265159"/>
    <w:rsid w:val="00283660"/>
    <w:rsid w:val="002930A5"/>
    <w:rsid w:val="002A62B8"/>
    <w:rsid w:val="00351FFB"/>
    <w:rsid w:val="003A0314"/>
    <w:rsid w:val="003F66EC"/>
    <w:rsid w:val="004518E1"/>
    <w:rsid w:val="00480276"/>
    <w:rsid w:val="004E76A5"/>
    <w:rsid w:val="005A1B08"/>
    <w:rsid w:val="006B04B9"/>
    <w:rsid w:val="007455BB"/>
    <w:rsid w:val="00745BCD"/>
    <w:rsid w:val="007B5F83"/>
    <w:rsid w:val="00803CEC"/>
    <w:rsid w:val="00861B1F"/>
    <w:rsid w:val="008B1DB5"/>
    <w:rsid w:val="00A61501"/>
    <w:rsid w:val="00B56A21"/>
    <w:rsid w:val="00BA341B"/>
    <w:rsid w:val="00DE3C71"/>
    <w:rsid w:val="00EB3C77"/>
    <w:rsid w:val="00F4342D"/>
    <w:rsid w:val="00FD67FD"/>
    <w:rsid w:val="080C2678"/>
    <w:rsid w:val="12121376"/>
    <w:rsid w:val="13AA6085"/>
    <w:rsid w:val="2C3634FF"/>
    <w:rsid w:val="38CC7FAC"/>
    <w:rsid w:val="43AC176E"/>
    <w:rsid w:val="44FE43FF"/>
    <w:rsid w:val="45B222C8"/>
    <w:rsid w:val="66B052CE"/>
    <w:rsid w:val="6F8A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rPr>
      <w:rFonts w:ascii="Times New Roman" w:hAnsi="Times New Roman" w:cs="Times New Roman"/>
      <w:sz w:val="24"/>
    </w:rPr>
  </w:style>
  <w:style w:type="character" w:styleId="5">
    <w:name w:val="Strong"/>
    <w:basedOn w:val="4"/>
    <w:qFormat/>
    <w:uiPriority w:val="22"/>
    <w:rPr>
      <w:b/>
      <w:bCs/>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2290</Words>
  <Characters>2336</Characters>
  <Lines>19</Lines>
  <Paragraphs>5</Paragraphs>
  <TotalTime>252</TotalTime>
  <ScaleCrop>false</ScaleCrop>
  <LinksUpToDate>false</LinksUpToDate>
  <CharactersWithSpaces>2346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Kerryin213</cp:lastModifiedBy>
  <dcterms:modified xsi:type="dcterms:W3CDTF">2022-09-19T01:53:40Z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1DA41FEFD4D6456EA800309224EF89B0</vt:lpwstr>
  </property>
</Properties>
</file>