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outlineLvl w:val="0"/>
        <w:rPr>
          <w:rFonts w:ascii="方正小标宋简体" w:hAnsi="方正小标宋简体" w:eastAsia="方正小标宋简体" w:cs="宋体"/>
          <w:color w:val="363636"/>
          <w:kern w:val="36"/>
          <w:sz w:val="44"/>
          <w:szCs w:val="44"/>
        </w:rPr>
      </w:pPr>
      <w:r>
        <w:rPr>
          <w:rFonts w:hint="eastAsia" w:ascii="方正小标宋简体" w:hAnsi="方正小标宋简体" w:eastAsia="方正小标宋简体" w:cs="宋体"/>
          <w:color w:val="363636"/>
          <w:kern w:val="36"/>
          <w:sz w:val="44"/>
          <w:szCs w:val="44"/>
        </w:rPr>
        <w:t>汉阴县卫生健康局</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outlineLvl w:val="0"/>
        <w:rPr>
          <w:rFonts w:ascii="方正小标宋简体" w:hAnsi="方正小标宋简体" w:eastAsia="方正小标宋简体" w:cs="宋体"/>
          <w:color w:val="363636"/>
          <w:kern w:val="36"/>
          <w:sz w:val="44"/>
          <w:szCs w:val="44"/>
        </w:rPr>
      </w:pPr>
      <w:r>
        <w:rPr>
          <w:rFonts w:hint="eastAsia" w:ascii="方正小标宋简体" w:hAnsi="方正小标宋简体" w:eastAsia="方正小标宋简体" w:cs="宋体"/>
          <w:color w:val="363636"/>
          <w:kern w:val="36"/>
          <w:sz w:val="44"/>
          <w:szCs w:val="44"/>
        </w:rPr>
        <w:t>202</w:t>
      </w:r>
      <w:r>
        <w:rPr>
          <w:rFonts w:ascii="方正小标宋简体" w:hAnsi="方正小标宋简体" w:eastAsia="方正小标宋简体" w:cs="宋体"/>
          <w:color w:val="363636"/>
          <w:kern w:val="36"/>
          <w:sz w:val="44"/>
          <w:szCs w:val="44"/>
        </w:rPr>
        <w:t>1</w:t>
      </w:r>
      <w:r>
        <w:rPr>
          <w:rFonts w:hint="eastAsia" w:ascii="方正小标宋简体" w:hAnsi="方正小标宋简体" w:eastAsia="方正小标宋简体" w:cs="宋体"/>
          <w:color w:val="363636"/>
          <w:kern w:val="36"/>
          <w:sz w:val="44"/>
          <w:szCs w:val="44"/>
        </w:rPr>
        <w:t>年</w:t>
      </w:r>
      <w:r>
        <w:rPr>
          <w:rFonts w:hint="eastAsia" w:ascii="方正小标宋简体" w:hAnsi="方正小标宋简体" w:eastAsia="方正小标宋简体" w:cs="宋体"/>
          <w:color w:val="363636"/>
          <w:kern w:val="36"/>
          <w:sz w:val="44"/>
          <w:szCs w:val="44"/>
          <w:lang w:val="en-US" w:eastAsia="zh-CN"/>
        </w:rPr>
        <w:t>度</w:t>
      </w:r>
      <w:r>
        <w:rPr>
          <w:rFonts w:hint="eastAsia" w:ascii="方正小标宋简体" w:hAnsi="方正小标宋简体" w:eastAsia="方正小标宋简体" w:cs="宋体"/>
          <w:color w:val="363636"/>
          <w:kern w:val="36"/>
          <w:sz w:val="44"/>
          <w:szCs w:val="44"/>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outlineLvl w:val="0"/>
        <w:rPr>
          <w:rFonts w:cs="宋体" w:asciiTheme="majorEastAsia" w:hAnsiTheme="majorEastAsia" w:eastAsiaTheme="majorEastAsia"/>
          <w:color w:val="363636"/>
          <w:kern w:val="36"/>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方正仿宋简体" w:hAnsi="方正仿宋简体" w:eastAsia="方正仿宋简体"/>
          <w:color w:val="424242"/>
          <w:sz w:val="32"/>
          <w:szCs w:val="32"/>
          <w:shd w:val="clear" w:color="auto" w:fill="FFFFFF"/>
        </w:rPr>
      </w:pPr>
      <w:r>
        <w:rPr>
          <w:rFonts w:hint="eastAsia" w:ascii="仿宋_GB2312" w:hAnsi="仿宋_GB2312" w:eastAsia="仿宋_GB2312" w:cs="仿宋_GB2312"/>
          <w:color w:val="424242"/>
          <w:sz w:val="32"/>
          <w:szCs w:val="32"/>
          <w:shd w:val="clear" w:color="auto" w:fill="FFFFFF"/>
        </w:rPr>
        <w:t>本年度报告根据《中华人民共和国政府信息公开条例》(国务院令第711号修订，以下简称《条例》)和《国务院办公厅政府信息与政务公开办公室关于印发中华人民共和国政府信息公开工作年度报告格式的通知》（国办公开办函</w:t>
      </w:r>
      <w:r>
        <w:rPr>
          <w:rFonts w:hint="eastAsia" w:ascii="仿宋_GB2312" w:hAnsi="仿宋_GB2312" w:eastAsia="仿宋_GB2312" w:cs="仿宋_GB2312"/>
          <w:color w:val="333333"/>
          <w:sz w:val="32"/>
          <w:szCs w:val="32"/>
          <w:shd w:val="clear" w:color="auto" w:fill="FFFFFF"/>
        </w:rPr>
        <w:t>〔2021〕30号，以下简称《通知》</w:t>
      </w:r>
      <w:r>
        <w:rPr>
          <w:rFonts w:hint="eastAsia" w:ascii="仿宋_GB2312" w:hAnsi="仿宋_GB2312" w:eastAsia="仿宋_GB2312" w:cs="仿宋_GB2312"/>
          <w:color w:val="424242"/>
          <w:sz w:val="32"/>
          <w:szCs w:val="32"/>
          <w:shd w:val="clear" w:color="auto" w:fill="FFFFFF"/>
        </w:rPr>
        <w:t>）有关规定进行编制，本报告由总体情况，主动公开政府信息情况，收到和处理政府信息公开申请情况，政府信息公开行政复议、行政诉讼情况，存在的主要问题及改进情况，其他需要报告的事项六部分组成。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424242"/>
          <w:sz w:val="32"/>
          <w:szCs w:val="32"/>
          <w:shd w:val="clear" w:color="auto" w:fill="FFFFFF"/>
        </w:rPr>
      </w:pPr>
      <w:r>
        <w:rPr>
          <w:rFonts w:hint="eastAsia" w:ascii="黑体" w:hAnsi="黑体" w:eastAsia="黑体"/>
          <w:color w:val="424242"/>
          <w:sz w:val="32"/>
          <w:szCs w:val="32"/>
          <w:shd w:val="clear" w:color="auto" w:fill="FFFFFF"/>
        </w:rPr>
        <w:t>一、总体情况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424242"/>
          <w:sz w:val="32"/>
          <w:szCs w:val="32"/>
          <w:shd w:val="clear" w:color="auto" w:fill="FFFFFF"/>
        </w:rPr>
      </w:pPr>
      <w:r>
        <w:rPr>
          <w:rFonts w:hint="eastAsia" w:ascii="仿宋_GB2312" w:hAnsi="仿宋_GB2312" w:eastAsia="仿宋_GB2312" w:cs="仿宋_GB2312"/>
          <w:color w:val="424242"/>
          <w:sz w:val="32"/>
          <w:szCs w:val="32"/>
          <w:shd w:val="clear" w:color="auto" w:fill="FFFFFF"/>
        </w:rPr>
        <w:t>2021年，汉阴县卫生健康局在县委、县政府的领导下，根据《条例》要求，以习近平新时代中国特色社会主义思想为指导思想，深入学习贯彻党的十九大和十九届二中、三中、四中、五中、六中全会精神以及习近平总书记来陕来安考察重要讲话，紧紧围绕汉阴县卫生健康问题，坚持以公开为常态、不公开为例外原则，着力提升政务公开标准化和规范化水平,全面做好政府信息公开工作，扎实推进政务公开工作，把政务公开工作与卫生健康行政工作紧密结合，同部署、同检查、同考核。着力强化公开、解读、发布、互动，积极打造政府网站、政务新媒体等平台建设，全面提升公开质量和实效，持续推进政府信息公开工作。</w:t>
      </w:r>
    </w:p>
    <w:p>
      <w:pPr>
        <w:keepNext w:val="0"/>
        <w:keepLines w:val="0"/>
        <w:pageBreakBefore w:val="0"/>
        <w:kinsoku/>
        <w:wordWrap/>
        <w:overflowPunct/>
        <w:topLinePunct w:val="0"/>
        <w:autoSpaceDE/>
        <w:autoSpaceDN/>
        <w:bidi w:val="0"/>
        <w:adjustRightInd/>
        <w:snapToGrid/>
        <w:spacing w:line="580" w:lineRule="exact"/>
        <w:ind w:left="640"/>
        <w:textAlignment w:val="auto"/>
        <w:rPr>
          <w:rFonts w:hint="eastAsia" w:ascii="楷体_GB2312" w:hAnsi="楷体_GB2312" w:eastAsia="楷体_GB2312" w:cs="楷体_GB2312"/>
          <w:color w:val="424242"/>
          <w:sz w:val="32"/>
          <w:szCs w:val="32"/>
          <w:shd w:val="clear" w:color="auto" w:fill="FFFFFF"/>
        </w:rPr>
      </w:pPr>
      <w:r>
        <w:rPr>
          <w:rFonts w:hint="eastAsia" w:ascii="楷体_GB2312" w:hAnsi="楷体_GB2312" w:eastAsia="楷体_GB2312" w:cs="楷体_GB2312"/>
          <w:color w:val="424242"/>
          <w:sz w:val="32"/>
          <w:szCs w:val="32"/>
          <w:shd w:val="clear" w:color="auto" w:fill="FFFFFF"/>
        </w:rPr>
        <w:t>（一）主动公开政府信息情况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方正仿宋简体" w:hAnsi="方正仿宋简体" w:eastAsia="方正仿宋简体" w:cstheme="majorHAnsi"/>
          <w:color w:val="424242"/>
          <w:sz w:val="32"/>
          <w:szCs w:val="32"/>
          <w:shd w:val="clear" w:color="auto" w:fill="FFFFFF"/>
        </w:rPr>
      </w:pPr>
      <w:r>
        <w:rPr>
          <w:rFonts w:hint="eastAsia" w:ascii="仿宋_GB2312" w:hAnsi="仿宋_GB2312" w:eastAsia="仿宋_GB2312" w:cs="仿宋_GB2312"/>
          <w:color w:val="424242"/>
          <w:sz w:val="32"/>
          <w:szCs w:val="32"/>
          <w:shd w:val="clear" w:color="auto" w:fill="FFFFFF"/>
        </w:rPr>
        <w:t>2021年度，一是我局借助县政府门户网站累计发布卫生健康信息40条。其中，招考录用1条，公示公告4条，政协委员提案9条，政府采购6条，医疗机构信息2条，年报2条，惠农惠民政策资金2条，预决算公开4条，人大代表建议4条，卫生监督6条。二是我局聚焦疫情防控，配合县政府发布疫情防控方面的公共卫生信息138条，方便公众了解疫情防控情况，做好个人防护。</w:t>
      </w:r>
    </w:p>
    <w:p>
      <w:pPr>
        <w:keepNext w:val="0"/>
        <w:keepLines w:val="0"/>
        <w:pageBreakBefore w:val="0"/>
        <w:kinsoku/>
        <w:wordWrap/>
        <w:overflowPunct/>
        <w:topLinePunct w:val="0"/>
        <w:autoSpaceDE/>
        <w:autoSpaceDN/>
        <w:bidi w:val="0"/>
        <w:adjustRightInd/>
        <w:snapToGrid/>
        <w:spacing w:line="580" w:lineRule="exact"/>
        <w:ind w:left="640"/>
        <w:textAlignment w:val="auto"/>
        <w:rPr>
          <w:rFonts w:hint="eastAsia" w:ascii="楷体_GB2312" w:hAnsi="楷体_GB2312" w:eastAsia="楷体_GB2312" w:cs="楷体_GB2312"/>
          <w:color w:val="424242"/>
          <w:sz w:val="32"/>
          <w:szCs w:val="32"/>
          <w:shd w:val="clear" w:color="auto" w:fill="FFFFFF"/>
        </w:rPr>
      </w:pPr>
      <w:r>
        <w:rPr>
          <w:rFonts w:hint="eastAsia" w:ascii="楷体_GB2312" w:hAnsi="楷体_GB2312" w:eastAsia="楷体_GB2312" w:cs="楷体_GB2312"/>
          <w:color w:val="424242"/>
          <w:sz w:val="32"/>
          <w:szCs w:val="32"/>
          <w:shd w:val="clear" w:color="auto" w:fill="FFFFFF"/>
        </w:rPr>
        <w:t>（二）依申请政府信息公开情况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424242"/>
          <w:sz w:val="32"/>
          <w:szCs w:val="32"/>
          <w:shd w:val="clear" w:color="auto" w:fill="FFFFFF"/>
        </w:rPr>
      </w:pPr>
      <w:r>
        <w:rPr>
          <w:rFonts w:hint="eastAsia" w:ascii="仿宋_GB2312" w:hAnsi="仿宋_GB2312" w:eastAsia="仿宋_GB2312" w:cs="仿宋_GB2312"/>
          <w:color w:val="424242"/>
          <w:sz w:val="32"/>
          <w:szCs w:val="32"/>
          <w:shd w:val="clear" w:color="auto" w:fill="FFFFFF"/>
        </w:rPr>
        <w:t>2021年度我局未收到政府信息公开申请。</w:t>
      </w:r>
    </w:p>
    <w:p>
      <w:pPr>
        <w:keepNext w:val="0"/>
        <w:keepLines w:val="0"/>
        <w:pageBreakBefore w:val="0"/>
        <w:kinsoku/>
        <w:wordWrap/>
        <w:overflowPunct/>
        <w:topLinePunct w:val="0"/>
        <w:autoSpaceDE/>
        <w:autoSpaceDN/>
        <w:bidi w:val="0"/>
        <w:adjustRightInd/>
        <w:snapToGrid/>
        <w:spacing w:line="580" w:lineRule="exact"/>
        <w:ind w:left="640"/>
        <w:textAlignment w:val="auto"/>
        <w:rPr>
          <w:rFonts w:hint="eastAsia" w:ascii="楷体_GB2312" w:hAnsi="楷体_GB2312" w:eastAsia="楷体_GB2312" w:cs="楷体_GB2312"/>
          <w:color w:val="424242"/>
          <w:sz w:val="32"/>
          <w:szCs w:val="32"/>
          <w:shd w:val="clear" w:color="auto" w:fill="FFFFFF"/>
        </w:rPr>
      </w:pPr>
      <w:r>
        <w:rPr>
          <w:rFonts w:hint="eastAsia" w:ascii="楷体_GB2312" w:hAnsi="楷体_GB2312" w:eastAsia="楷体_GB2312" w:cs="楷体_GB2312"/>
          <w:color w:val="424242"/>
          <w:sz w:val="32"/>
          <w:szCs w:val="32"/>
          <w:shd w:val="clear" w:color="auto" w:fill="FFFFFF"/>
        </w:rPr>
        <w:t>（三）政府信息管理情况</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424242"/>
          <w:sz w:val="32"/>
          <w:szCs w:val="32"/>
          <w:shd w:val="clear" w:color="auto" w:fill="FFFFFF"/>
        </w:rPr>
      </w:pPr>
      <w:r>
        <w:rPr>
          <w:rFonts w:hint="eastAsia" w:ascii="楷体" w:hAnsi="楷体" w:eastAsia="楷体" w:cstheme="majorHAnsi"/>
          <w:b/>
          <w:bCs/>
          <w:color w:val="424242"/>
          <w:sz w:val="32"/>
          <w:szCs w:val="32"/>
          <w:shd w:val="clear" w:color="auto" w:fill="FFFFFF"/>
        </w:rPr>
        <w:t xml:space="preserve"> </w:t>
      </w:r>
      <w:r>
        <w:rPr>
          <w:rFonts w:hint="eastAsia" w:ascii="仿宋_GB2312" w:hAnsi="仿宋_GB2312" w:eastAsia="仿宋_GB2312" w:cs="仿宋_GB2312"/>
          <w:b/>
          <w:bCs/>
          <w:color w:val="424242"/>
          <w:sz w:val="32"/>
          <w:szCs w:val="32"/>
          <w:shd w:val="clear" w:color="auto" w:fill="FFFFFF"/>
        </w:rPr>
        <w:t xml:space="preserve">  </w:t>
      </w:r>
      <w:r>
        <w:rPr>
          <w:rFonts w:hint="eastAsia" w:ascii="仿宋_GB2312" w:hAnsi="仿宋_GB2312" w:eastAsia="仿宋_GB2312" w:cs="仿宋_GB2312"/>
          <w:color w:val="424242"/>
          <w:sz w:val="32"/>
          <w:szCs w:val="32"/>
          <w:shd w:val="clear" w:color="auto" w:fill="FFFFFF"/>
        </w:rPr>
        <w:t xml:space="preserve"> 一是加强组织领导。成立有信息公开工作领导小组，由政办股、医政股、公卫股、医改股、老龄健康股、爱卫办、项目办主要责任人组成，共同负责政府信息发布、依申请公开受理、政府信息咨询等方面的联络协调工作，确保责任到人，常抓不懈。</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424242"/>
          <w:sz w:val="32"/>
          <w:szCs w:val="32"/>
          <w:shd w:val="clear" w:color="auto" w:fill="FFFFFF"/>
        </w:rPr>
      </w:pPr>
      <w:r>
        <w:rPr>
          <w:rFonts w:hint="eastAsia" w:ascii="仿宋_GB2312" w:hAnsi="仿宋_GB2312" w:eastAsia="仿宋_GB2312" w:cs="仿宋_GB2312"/>
          <w:color w:val="424242"/>
          <w:sz w:val="32"/>
          <w:szCs w:val="32"/>
          <w:shd w:val="clear" w:color="auto" w:fill="FFFFFF"/>
        </w:rPr>
        <w:t>　　二是健全相关制度，进一步完善了信息公开制度、信息公开指南及依申请公开办理流程，确保信息公开工作有据可依。</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424242"/>
          <w:sz w:val="32"/>
          <w:szCs w:val="32"/>
          <w:shd w:val="clear" w:color="auto" w:fill="FFFFFF"/>
        </w:rPr>
      </w:pPr>
      <w:r>
        <w:rPr>
          <w:rFonts w:hint="eastAsia" w:ascii="仿宋_GB2312" w:hAnsi="仿宋_GB2312" w:eastAsia="仿宋_GB2312" w:cs="仿宋_GB2312"/>
          <w:color w:val="424242"/>
          <w:sz w:val="32"/>
          <w:szCs w:val="32"/>
          <w:shd w:val="clear" w:color="auto" w:fill="FFFFFF"/>
        </w:rPr>
        <w:t>　　三是理顺工作流程，严格执行审批流程，确保政务信息</w:t>
      </w:r>
      <w:r>
        <w:rPr>
          <w:rFonts w:hint="eastAsia" w:ascii="仿宋_GB2312" w:hAnsi="仿宋_GB2312" w:eastAsia="仿宋_GB2312" w:cs="仿宋_GB2312"/>
          <w:color w:val="424242"/>
          <w:sz w:val="32"/>
          <w:szCs w:val="32"/>
          <w:shd w:val="clear" w:color="auto" w:fill="FFFFFF"/>
          <w:lang w:eastAsia="zh-CN"/>
        </w:rPr>
        <w:t>发布得及时</w:t>
      </w:r>
      <w:r>
        <w:rPr>
          <w:rFonts w:hint="eastAsia" w:ascii="仿宋_GB2312" w:hAnsi="仿宋_GB2312" w:eastAsia="仿宋_GB2312" w:cs="仿宋_GB2312"/>
          <w:color w:val="424242"/>
          <w:sz w:val="32"/>
          <w:szCs w:val="32"/>
          <w:shd w:val="clear" w:color="auto" w:fill="FFFFFF"/>
        </w:rPr>
        <w:t>、全面、准确。</w:t>
      </w:r>
    </w:p>
    <w:p>
      <w:pPr>
        <w:keepNext w:val="0"/>
        <w:keepLines w:val="0"/>
        <w:pageBreakBefore w:val="0"/>
        <w:kinsoku/>
        <w:wordWrap/>
        <w:overflowPunct/>
        <w:topLinePunct w:val="0"/>
        <w:autoSpaceDE/>
        <w:autoSpaceDN/>
        <w:bidi w:val="0"/>
        <w:adjustRightInd/>
        <w:snapToGrid/>
        <w:spacing w:line="580" w:lineRule="exact"/>
        <w:textAlignment w:val="auto"/>
        <w:rPr>
          <w:rFonts w:ascii="楷体" w:hAnsi="楷体" w:eastAsia="楷体" w:cstheme="majorHAnsi"/>
          <w:color w:val="424242"/>
          <w:sz w:val="32"/>
          <w:szCs w:val="32"/>
          <w:shd w:val="clear" w:color="auto" w:fill="FFFFFF"/>
        </w:rPr>
      </w:pPr>
      <w:r>
        <w:rPr>
          <w:rFonts w:hint="eastAsia" w:ascii="仿宋_GB2312" w:hAnsi="仿宋_GB2312" w:eastAsia="仿宋_GB2312" w:cs="仿宋_GB2312"/>
          <w:color w:val="424242"/>
          <w:sz w:val="32"/>
          <w:szCs w:val="32"/>
          <w:shd w:val="clear" w:color="auto" w:fill="FFFFFF"/>
        </w:rPr>
        <w:t>　　四是加强人员培训，结合人员变动情况，及时更新宣传及政务公开人员信息，组织相关人员开展专题业务培训，精心研读最新政府信息政策法规，提升工作人员能力。</w:t>
      </w:r>
    </w:p>
    <w:p>
      <w:pPr>
        <w:keepNext w:val="0"/>
        <w:keepLines w:val="0"/>
        <w:pageBreakBefore w:val="0"/>
        <w:kinsoku/>
        <w:wordWrap/>
        <w:overflowPunct/>
        <w:topLinePunct w:val="0"/>
        <w:autoSpaceDE/>
        <w:autoSpaceDN/>
        <w:bidi w:val="0"/>
        <w:adjustRightInd/>
        <w:snapToGrid/>
        <w:spacing w:line="580" w:lineRule="exact"/>
        <w:ind w:left="640"/>
        <w:textAlignment w:val="auto"/>
        <w:rPr>
          <w:rFonts w:hint="eastAsia" w:ascii="楷体_GB2312" w:hAnsi="楷体_GB2312" w:eastAsia="楷体_GB2312" w:cs="楷体_GB2312"/>
          <w:color w:val="424242"/>
          <w:sz w:val="32"/>
          <w:szCs w:val="32"/>
          <w:shd w:val="clear" w:color="auto" w:fill="FFFFFF"/>
        </w:rPr>
      </w:pPr>
      <w:r>
        <w:rPr>
          <w:rFonts w:hint="eastAsia" w:ascii="楷体_GB2312" w:hAnsi="楷体_GB2312" w:eastAsia="楷体_GB2312" w:cs="楷体_GB2312"/>
          <w:color w:val="424242"/>
          <w:sz w:val="32"/>
          <w:szCs w:val="32"/>
          <w:shd w:val="clear" w:color="auto" w:fill="FFFFFF"/>
        </w:rPr>
        <w:t>（四）政府信息公开平台建设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我局主要通过汉阴县政府网站开展政府信息公开工作，无新增信息公开平台。</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（五）监督保障情况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424242"/>
          <w:sz w:val="32"/>
          <w:szCs w:val="32"/>
          <w:shd w:val="clear" w:color="auto" w:fill="FFFFFF"/>
        </w:rPr>
      </w:pPr>
      <w:r>
        <w:rPr>
          <w:rFonts w:hint="eastAsia" w:ascii="仿宋_GB2312" w:hAnsi="仿宋_GB2312" w:eastAsia="仿宋_GB2312" w:cs="仿宋_GB2312"/>
          <w:color w:val="424242"/>
          <w:sz w:val="32"/>
          <w:szCs w:val="32"/>
          <w:shd w:val="clear" w:color="auto" w:fill="FFFFFF"/>
        </w:rPr>
        <w:t>一直以来，我局主动接受社会监督，局党组主要负责同志高度重视政府信息公开工作开展情况，要求分管政府信息公开工作领导要切实加强对政务公开工作的日常监督检查。2021年来我局积极配合开展政府信息公开考核工作，全年没有受到因公开不及时、发布错误言论信息而受到通报批评的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二、主动公开政府信息情况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ascii="黑体" w:hAnsi="黑体" w:eastAsia="黑体" w:cs="宋体"/>
          <w:b/>
          <w:bCs/>
          <w:color w:val="333333"/>
          <w:kern w:val="0"/>
          <w:sz w:val="32"/>
          <w:szCs w:val="32"/>
        </w:rPr>
      </w:pPr>
    </w:p>
    <w:tbl>
      <w:tblPr>
        <w:tblStyle w:val="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5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宋体" w:hAnsi="宋体" w:cs="宋体"/>
                <w:b w:val="0"/>
                <w:bCs w:val="0"/>
                <w:sz w:val="28"/>
                <w:szCs w:val="28"/>
              </w:rPr>
            </w:pPr>
            <w:r>
              <w:rPr>
                <w:rFonts w:hint="eastAsia" w:ascii="方正黑体简体" w:eastAsia="方正黑体简体"/>
                <w:b w:val="0"/>
                <w:bCs w:val="0"/>
                <w:sz w:val="28"/>
                <w:szCs w:val="28"/>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cs="Times New Roman"/>
                <w:b w:val="0"/>
                <w:bCs w:val="0"/>
                <w:sz w:val="24"/>
                <w:szCs w:val="22"/>
              </w:rPr>
            </w:pPr>
            <w:r>
              <w:rPr>
                <w:rFonts w:hint="eastAsia" w:ascii="Times New Roman" w:hAnsi="Times New Roman" w:eastAsia="方正仿宋简体"/>
                <w:b w:val="0"/>
                <w:bCs w:val="0"/>
                <w:sz w:val="24"/>
                <w:szCs w:val="22"/>
              </w:rPr>
              <w:t>信息内容</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hint="eastAsia" w:ascii="Times New Roman" w:hAnsi="Times New Roman" w:eastAsia="方正仿宋简体"/>
                <w:b w:val="0"/>
                <w:bCs w:val="0"/>
                <w:sz w:val="24"/>
                <w:szCs w:val="22"/>
              </w:rPr>
              <w:t>本年制发件数</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hint="eastAsia" w:ascii="Times New Roman" w:hAnsi="Times New Roman" w:eastAsia="方正仿宋简体"/>
                <w:b w:val="0"/>
                <w:bCs w:val="0"/>
                <w:sz w:val="24"/>
                <w:szCs w:val="22"/>
              </w:rPr>
              <w:t>本年废止件数</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hint="eastAsia" w:ascii="Times New Roman" w:hAnsi="Times New Roman" w:eastAsia="方正仿宋简体"/>
                <w:b w:val="0"/>
                <w:bCs w:val="0"/>
                <w:sz w:val="24"/>
                <w:szCs w:val="22"/>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ascii="Times New Roman" w:hAnsi="Times New Roman" w:eastAsia="方正仿宋简体"/>
                <w:b w:val="0"/>
                <w:bCs w:val="0"/>
                <w:sz w:val="24"/>
                <w:szCs w:val="22"/>
              </w:rPr>
            </w:pPr>
            <w:r>
              <w:rPr>
                <w:rFonts w:hint="eastAsia" w:ascii="Times New Roman" w:hAnsi="Times New Roman" w:eastAsia="方正仿宋简体"/>
                <w:b w:val="0"/>
                <w:bCs w:val="0"/>
                <w:sz w:val="24"/>
                <w:szCs w:val="22"/>
              </w:rPr>
              <w:t>规章</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ascii="Times New Roman" w:hAnsi="Times New Roman" w:eastAsia="方正仿宋简体"/>
                <w:b w:val="0"/>
                <w:bCs w:val="0"/>
                <w:sz w:val="24"/>
                <w:szCs w:val="22"/>
              </w:rPr>
              <w:t>0</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ascii="Times New Roman" w:hAnsi="Times New Roman" w:eastAsia="方正仿宋简体"/>
                <w:b w:val="0"/>
                <w:bCs w:val="0"/>
                <w:sz w:val="24"/>
                <w:szCs w:val="22"/>
              </w:rPr>
              <w:t>0</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ascii="Times New Roman" w:hAnsi="Times New Roman" w:eastAsia="方正仿宋简体"/>
                <w:b w:val="0"/>
                <w:bCs w:val="0"/>
                <w:sz w:val="24"/>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ascii="Times New Roman" w:hAnsi="Times New Roman" w:eastAsia="方正仿宋简体"/>
                <w:b w:val="0"/>
                <w:bCs w:val="0"/>
                <w:sz w:val="24"/>
                <w:szCs w:val="22"/>
              </w:rPr>
            </w:pPr>
            <w:r>
              <w:rPr>
                <w:rFonts w:hint="eastAsia" w:ascii="Times New Roman" w:hAnsi="Times New Roman" w:eastAsia="方正仿宋简体"/>
                <w:b w:val="0"/>
                <w:bCs w:val="0"/>
                <w:sz w:val="24"/>
                <w:szCs w:val="22"/>
              </w:rPr>
              <w:t>行政规范性文件</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ascii="Times New Roman" w:hAnsi="Times New Roman" w:eastAsia="方正仿宋简体"/>
                <w:b w:val="0"/>
                <w:bCs w:val="0"/>
                <w:sz w:val="24"/>
                <w:szCs w:val="22"/>
              </w:rPr>
              <w:t>0</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ascii="Times New Roman" w:hAnsi="Times New Roman" w:eastAsia="方正仿宋简体"/>
                <w:b w:val="0"/>
                <w:bCs w:val="0"/>
                <w:sz w:val="24"/>
                <w:szCs w:val="22"/>
              </w:rPr>
              <w:t>0</w:t>
            </w:r>
          </w:p>
        </w:tc>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ascii="Times New Roman" w:hAnsi="Times New Roman" w:eastAsia="方正仿宋简体"/>
                <w:b w:val="0"/>
                <w:bCs w:val="0"/>
                <w:sz w:val="24"/>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5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hint="eastAsia" w:ascii="方正黑体简体" w:eastAsia="方正黑体简体"/>
                <w:b w:val="0"/>
                <w:bCs w:val="0"/>
                <w:sz w:val="28"/>
                <w:szCs w:val="28"/>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hint="eastAsia" w:ascii="Times New Roman" w:hAnsi="Times New Roman" w:eastAsia="方正仿宋简体"/>
                <w:b w:val="0"/>
                <w:bCs w:val="0"/>
                <w:sz w:val="24"/>
                <w:szCs w:val="22"/>
              </w:rPr>
              <w:t>信息内容</w:t>
            </w:r>
          </w:p>
        </w:tc>
        <w:tc>
          <w:tcPr>
            <w:tcW w:w="63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hint="eastAsia" w:ascii="Times New Roman" w:hAnsi="Times New Roman" w:eastAsia="方正仿宋简体"/>
                <w:b w:val="0"/>
                <w:bCs w:val="0"/>
                <w:sz w:val="24"/>
                <w:szCs w:val="22"/>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ascii="Times New Roman" w:hAnsi="Times New Roman" w:eastAsia="方正仿宋简体"/>
                <w:b w:val="0"/>
                <w:bCs w:val="0"/>
                <w:sz w:val="24"/>
                <w:szCs w:val="22"/>
              </w:rPr>
            </w:pPr>
            <w:r>
              <w:rPr>
                <w:rFonts w:hint="eastAsia" w:ascii="Times New Roman" w:hAnsi="Times New Roman" w:eastAsia="方正仿宋简体"/>
                <w:b w:val="0"/>
                <w:bCs w:val="0"/>
                <w:sz w:val="24"/>
                <w:szCs w:val="22"/>
              </w:rPr>
              <w:t>行政许可</w:t>
            </w:r>
          </w:p>
        </w:tc>
        <w:tc>
          <w:tcPr>
            <w:tcW w:w="63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ascii="Times New Roman" w:hAnsi="Times New Roman" w:eastAsia="方正仿宋简体"/>
                <w:b w:val="0"/>
                <w:bCs w:val="0"/>
                <w:sz w:val="24"/>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hint="eastAsia" w:ascii="方正黑体简体" w:eastAsia="方正黑体简体"/>
                <w:b w:val="0"/>
                <w:bCs w:val="0"/>
                <w:sz w:val="28"/>
                <w:szCs w:val="28"/>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hint="eastAsia" w:ascii="Times New Roman" w:hAnsi="Times New Roman" w:eastAsia="方正仿宋简体"/>
                <w:b w:val="0"/>
                <w:bCs w:val="0"/>
                <w:sz w:val="24"/>
                <w:szCs w:val="22"/>
              </w:rPr>
              <w:t>信息内容</w:t>
            </w:r>
          </w:p>
        </w:tc>
        <w:tc>
          <w:tcPr>
            <w:tcW w:w="63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hint="eastAsia" w:ascii="Times New Roman" w:hAnsi="Times New Roman" w:eastAsia="方正仿宋简体"/>
                <w:b w:val="0"/>
                <w:bCs w:val="0"/>
                <w:sz w:val="24"/>
                <w:szCs w:val="22"/>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ascii="Times New Roman" w:hAnsi="Times New Roman" w:eastAsia="方正仿宋简体"/>
                <w:b w:val="0"/>
                <w:bCs w:val="0"/>
                <w:sz w:val="24"/>
                <w:szCs w:val="22"/>
              </w:rPr>
            </w:pPr>
            <w:r>
              <w:rPr>
                <w:rFonts w:hint="eastAsia" w:ascii="Times New Roman" w:hAnsi="Times New Roman" w:eastAsia="方正仿宋简体"/>
                <w:b w:val="0"/>
                <w:bCs w:val="0"/>
                <w:sz w:val="24"/>
                <w:szCs w:val="22"/>
              </w:rPr>
              <w:t>行政处罚</w:t>
            </w:r>
          </w:p>
        </w:tc>
        <w:tc>
          <w:tcPr>
            <w:tcW w:w="63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ascii="Times New Roman" w:hAnsi="Times New Roman" w:eastAsia="方正仿宋简体"/>
                <w:b w:val="0"/>
                <w:bCs w:val="0"/>
                <w:sz w:val="24"/>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ascii="Times New Roman" w:hAnsi="Times New Roman" w:eastAsia="方正仿宋简体"/>
                <w:b w:val="0"/>
                <w:bCs w:val="0"/>
                <w:sz w:val="24"/>
                <w:szCs w:val="22"/>
              </w:rPr>
            </w:pPr>
            <w:r>
              <w:rPr>
                <w:rFonts w:hint="eastAsia" w:ascii="Times New Roman" w:hAnsi="Times New Roman" w:eastAsia="方正仿宋简体"/>
                <w:b w:val="0"/>
                <w:bCs w:val="0"/>
                <w:sz w:val="24"/>
                <w:szCs w:val="22"/>
              </w:rPr>
              <w:t>行政强制</w:t>
            </w:r>
          </w:p>
        </w:tc>
        <w:tc>
          <w:tcPr>
            <w:tcW w:w="63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ascii="Times New Roman" w:hAnsi="Times New Roman" w:eastAsia="方正仿宋简体"/>
                <w:b w:val="0"/>
                <w:bCs w:val="0"/>
                <w:sz w:val="24"/>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5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hint="eastAsia" w:ascii="方正黑体简体" w:eastAsia="方正黑体简体"/>
                <w:b w:val="0"/>
                <w:bCs w:val="0"/>
                <w:sz w:val="28"/>
                <w:szCs w:val="28"/>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hint="eastAsia" w:ascii="Times New Roman" w:hAnsi="Times New Roman" w:eastAsia="方正仿宋简体"/>
                <w:b w:val="0"/>
                <w:bCs w:val="0"/>
                <w:sz w:val="24"/>
                <w:szCs w:val="22"/>
              </w:rPr>
              <w:t>信息内容</w:t>
            </w:r>
          </w:p>
        </w:tc>
        <w:tc>
          <w:tcPr>
            <w:tcW w:w="63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hint="eastAsia" w:ascii="Times New Roman" w:hAnsi="Times New Roman" w:eastAsia="方正仿宋简体"/>
                <w:b w:val="0"/>
                <w:bCs w:val="0"/>
                <w:sz w:val="24"/>
                <w:szCs w:val="22"/>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ascii="Times New Roman" w:hAnsi="Times New Roman" w:eastAsia="方正仿宋简体"/>
                <w:b w:val="0"/>
                <w:bCs w:val="0"/>
                <w:sz w:val="24"/>
                <w:szCs w:val="22"/>
              </w:rPr>
            </w:pPr>
            <w:r>
              <w:rPr>
                <w:rFonts w:hint="eastAsia" w:ascii="Times New Roman" w:hAnsi="Times New Roman" w:eastAsia="方正仿宋简体"/>
                <w:b w:val="0"/>
                <w:bCs w:val="0"/>
                <w:sz w:val="24"/>
                <w:szCs w:val="22"/>
              </w:rPr>
              <w:t>行政事业性收费</w:t>
            </w:r>
          </w:p>
        </w:tc>
        <w:tc>
          <w:tcPr>
            <w:tcW w:w="63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方正仿宋简体"/>
                <w:b w:val="0"/>
                <w:bCs w:val="0"/>
                <w:sz w:val="24"/>
                <w:szCs w:val="22"/>
              </w:rPr>
            </w:pPr>
            <w:r>
              <w:rPr>
                <w:rFonts w:ascii="Times New Roman" w:hAnsi="Times New Roman" w:eastAsia="方正仿宋简体"/>
                <w:b w:val="0"/>
                <w:bCs w:val="0"/>
                <w:sz w:val="24"/>
                <w:szCs w:val="22"/>
              </w:rPr>
              <w:t>0</w:t>
            </w:r>
          </w:p>
        </w:tc>
      </w:tr>
    </w:tbl>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方正仿宋简体" w:hAnsi="方正仿宋简体" w:eastAsia="方正仿宋简体" w:cstheme="majorHAnsi"/>
          <w:color w:val="424242"/>
          <w:sz w:val="32"/>
          <w:szCs w:val="32"/>
          <w:shd w:val="clear" w:color="auto" w:fill="FFFFFF"/>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heme="majorHAnsi"/>
          <w:color w:val="424242"/>
          <w:sz w:val="32"/>
          <w:szCs w:val="32"/>
          <w:shd w:val="clear" w:color="auto" w:fill="FFFFFF"/>
        </w:rPr>
      </w:pPr>
      <w:r>
        <w:rPr>
          <w:rFonts w:hint="eastAsia" w:ascii="黑体" w:hAnsi="黑体" w:eastAsia="黑体" w:cstheme="majorHAnsi"/>
          <w:color w:val="424242"/>
          <w:sz w:val="32"/>
          <w:szCs w:val="32"/>
          <w:shd w:val="clear" w:color="auto" w:fill="FFFFFF"/>
        </w:rPr>
        <w:t>三、收到和处理政府信息公开申请情况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heme="majorHAnsi"/>
          <w:color w:val="424242"/>
          <w:sz w:val="32"/>
          <w:szCs w:val="32"/>
          <w:shd w:val="clear" w:color="auto" w:fill="FFFFFF"/>
        </w:rPr>
      </w:pPr>
    </w:p>
    <w:tbl>
      <w:tblPr>
        <w:tblStyle w:val="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40"/>
        <w:gridCol w:w="22"/>
        <w:gridCol w:w="3082"/>
        <w:gridCol w:w="630"/>
        <w:gridCol w:w="570"/>
        <w:gridCol w:w="480"/>
        <w:gridCol w:w="720"/>
        <w:gridCol w:w="705"/>
        <w:gridCol w:w="480"/>
        <w:gridCol w:w="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0" w:type="dxa"/>
            <w:gridSpan w:val="4"/>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楷体" w:hAnsi="楷体" w:eastAsia="楷体" w:cs="方正仿宋简体"/>
                <w:sz w:val="24"/>
              </w:rPr>
            </w:pPr>
            <w:r>
              <w:rPr>
                <w:rFonts w:hint="eastAsia" w:ascii="楷体" w:hAnsi="楷体" w:eastAsia="楷体" w:cs="方正仿宋简体"/>
                <w:sz w:val="24"/>
              </w:rPr>
              <w:t>（本列数据的勾稽关系为：第一项加第二项之和，等于第三项加第四项之和）</w:t>
            </w:r>
          </w:p>
        </w:tc>
        <w:tc>
          <w:tcPr>
            <w:tcW w:w="404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0"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自然人</w:t>
            </w:r>
          </w:p>
        </w:tc>
        <w:tc>
          <w:tcPr>
            <w:tcW w:w="295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法人或其他组织</w:t>
            </w:r>
          </w:p>
        </w:tc>
        <w:tc>
          <w:tcPr>
            <w:tcW w:w="4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480"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商业企业</w:t>
            </w: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科研机构</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社会公益组织</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法律服务机构</w:t>
            </w: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其他</w:t>
            </w:r>
          </w:p>
        </w:tc>
        <w:tc>
          <w:tcPr>
            <w:tcW w:w="4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一、本年新收政府信息公开申请数量</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二、上年结转政府信息公开申请数量</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三、本年度办理结果</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（一）予以公开</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9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（二）部分公开</w:t>
            </w:r>
            <w:r>
              <w:rPr>
                <w:rFonts w:hint="eastAsia" w:ascii="楷体" w:hAnsi="楷体" w:eastAsia="楷体" w:cs="方正仿宋简体"/>
                <w:sz w:val="24"/>
              </w:rPr>
              <w:t>（区分处理的，只计这一情形，不计其他情形）</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（三）</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不予公开</w:t>
            </w:r>
          </w:p>
        </w:tc>
        <w:tc>
          <w:tcPr>
            <w:tcW w:w="3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1.属于国家秘密</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2.其他法律行政法规禁止公开</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3.危及“三安全一稳定”</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4.保护第三方合法权益</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5.属于三类内部事务信息</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6.属于四类过程性信息</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7.属于行政执法案卷</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8.属于行政查询事项</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（四）无法提供</w:t>
            </w:r>
          </w:p>
        </w:tc>
        <w:tc>
          <w:tcPr>
            <w:tcW w:w="3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1.本机关不掌握相关政府信息</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2.没有现成信息需要另行制作</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3.补正后申请内容仍不明确</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（五）不予处理</w:t>
            </w:r>
          </w:p>
        </w:tc>
        <w:tc>
          <w:tcPr>
            <w:tcW w:w="3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1.信访举报投诉类申请</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2.重复申请</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3.要求提供公开出版物</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4.无正当理由大量反复申请</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1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5.要求行政机关确认或重新出具已获取信息</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62"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（六）其他处理</w:t>
            </w:r>
          </w:p>
        </w:tc>
        <w:tc>
          <w:tcPr>
            <w:tcW w:w="3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1．申请人无正当理由逾期不补正、行政机关不再处理其政府信息公开申请</w:t>
            </w:r>
          </w:p>
        </w:tc>
        <w:tc>
          <w:tcPr>
            <w:tcW w:w="63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62"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w:t>
            </w:r>
            <w:r>
              <w:rPr>
                <w:rFonts w:ascii="方正仿宋简体" w:hAnsi="方正仿宋简体" w:eastAsia="方正仿宋简体" w:cs="方正仿宋简体"/>
                <w:sz w:val="24"/>
              </w:rPr>
              <w:t>.</w:t>
            </w:r>
            <w:r>
              <w:rPr>
                <w:rFonts w:hint="eastAsia" w:ascii="方正仿宋简体" w:hAnsi="方正仿宋简体" w:eastAsia="方正仿宋简体" w:cs="方正仿宋简体"/>
                <w:sz w:val="24"/>
              </w:rPr>
              <w:t>申请人逾期未按收费通知要求缴纳费用、行政机关不再处理其政府信息公开申请</w:t>
            </w:r>
          </w:p>
        </w:tc>
        <w:tc>
          <w:tcPr>
            <w:tcW w:w="63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3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86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3</w:t>
            </w:r>
            <w:r>
              <w:rPr>
                <w:rFonts w:ascii="方正仿宋简体" w:hAnsi="方正仿宋简体" w:eastAsia="方正仿宋简体" w:cs="方正仿宋简体"/>
                <w:sz w:val="24"/>
              </w:rPr>
              <w:t>.</w:t>
            </w:r>
            <w:r>
              <w:rPr>
                <w:rFonts w:hint="eastAsia" w:ascii="方正仿宋简体" w:hAnsi="方正仿宋简体" w:eastAsia="方正仿宋简体" w:cs="方正仿宋简体"/>
                <w:sz w:val="24"/>
              </w:rPr>
              <w:t>其他</w:t>
            </w:r>
          </w:p>
        </w:tc>
        <w:tc>
          <w:tcPr>
            <w:tcW w:w="63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39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（七）总计</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四、结转下年度继续办理</w:t>
            </w:r>
          </w:p>
        </w:tc>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bl>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heme="majorHAnsi"/>
          <w:color w:val="424242"/>
          <w:sz w:val="32"/>
          <w:szCs w:val="32"/>
          <w:shd w:val="clear" w:color="auto" w:fill="FFFFFF"/>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heme="majorHAnsi"/>
          <w:color w:val="424242"/>
          <w:sz w:val="32"/>
          <w:szCs w:val="32"/>
          <w:shd w:val="clear" w:color="auto" w:fill="FFFFFF"/>
        </w:rPr>
      </w:pPr>
      <w:r>
        <w:rPr>
          <w:rFonts w:hint="eastAsia" w:ascii="黑体" w:hAnsi="黑体" w:eastAsia="黑体" w:cstheme="majorHAnsi"/>
          <w:color w:val="424242"/>
          <w:sz w:val="32"/>
          <w:szCs w:val="32"/>
          <w:shd w:val="clear" w:color="auto" w:fill="FFFFFF"/>
        </w:rPr>
        <w:t>四、政府信息公开行政复议、行政诉讼情况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heme="majorHAnsi"/>
          <w:color w:val="424242"/>
          <w:sz w:val="32"/>
          <w:szCs w:val="32"/>
          <w:shd w:val="clear" w:color="auto" w:fill="FFFFFF"/>
        </w:rPr>
      </w:pPr>
    </w:p>
    <w:tbl>
      <w:tblPr>
        <w:tblStyle w:val="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568"/>
        <w:gridCol w:w="568"/>
        <w:gridCol w:w="568"/>
        <w:gridCol w:w="568"/>
        <w:gridCol w:w="568"/>
        <w:gridCol w:w="568"/>
        <w:gridCol w:w="568"/>
        <w:gridCol w:w="568"/>
        <w:gridCol w:w="568"/>
        <w:gridCol w:w="568"/>
        <w:gridCol w:w="568"/>
        <w:gridCol w:w="56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83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行政复议</w:t>
            </w:r>
          </w:p>
        </w:tc>
        <w:tc>
          <w:tcPr>
            <w:tcW w:w="5682"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7"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结果维持</w:t>
            </w:r>
          </w:p>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p>
        </w:tc>
        <w:tc>
          <w:tcPr>
            <w:tcW w:w="567"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结果纠正</w:t>
            </w:r>
          </w:p>
        </w:tc>
        <w:tc>
          <w:tcPr>
            <w:tcW w:w="568"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其他结果</w:t>
            </w:r>
          </w:p>
        </w:tc>
        <w:tc>
          <w:tcPr>
            <w:tcW w:w="568"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尚未审结</w:t>
            </w:r>
          </w:p>
        </w:tc>
        <w:tc>
          <w:tcPr>
            <w:tcW w:w="568"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总计</w:t>
            </w:r>
          </w:p>
        </w:tc>
        <w:tc>
          <w:tcPr>
            <w:tcW w:w="2840"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未经复议直接起诉</w:t>
            </w:r>
          </w:p>
        </w:tc>
        <w:tc>
          <w:tcPr>
            <w:tcW w:w="2842"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6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p>
        </w:tc>
        <w:tc>
          <w:tcPr>
            <w:tcW w:w="56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p>
        </w:tc>
        <w:tc>
          <w:tcPr>
            <w:tcW w:w="56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p>
        </w:tc>
        <w:tc>
          <w:tcPr>
            <w:tcW w:w="56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p>
        </w:tc>
        <w:tc>
          <w:tcPr>
            <w:tcW w:w="568"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p>
        </w:tc>
        <w:tc>
          <w:tcPr>
            <w:tcW w:w="5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结果维持</w:t>
            </w:r>
          </w:p>
        </w:tc>
        <w:tc>
          <w:tcPr>
            <w:tcW w:w="5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结果纠正</w:t>
            </w:r>
          </w:p>
        </w:tc>
        <w:tc>
          <w:tcPr>
            <w:tcW w:w="5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其他结果</w:t>
            </w:r>
          </w:p>
        </w:tc>
        <w:tc>
          <w:tcPr>
            <w:tcW w:w="5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尚未审结</w:t>
            </w:r>
          </w:p>
        </w:tc>
        <w:tc>
          <w:tcPr>
            <w:tcW w:w="5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总计</w:t>
            </w:r>
          </w:p>
        </w:tc>
        <w:tc>
          <w:tcPr>
            <w:tcW w:w="5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结果维持</w:t>
            </w:r>
          </w:p>
        </w:tc>
        <w:tc>
          <w:tcPr>
            <w:tcW w:w="5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结果纠正</w:t>
            </w:r>
          </w:p>
        </w:tc>
        <w:tc>
          <w:tcPr>
            <w:tcW w:w="5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其他结果</w:t>
            </w:r>
          </w:p>
        </w:tc>
        <w:tc>
          <w:tcPr>
            <w:tcW w:w="56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尚未审结</w:t>
            </w:r>
          </w:p>
        </w:tc>
        <w:tc>
          <w:tcPr>
            <w:tcW w:w="56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580" w:lineRule="exac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80" w:lineRule="exact"/>
              <w:jc w:val="left"/>
              <w:textAlignment w:val="auto"/>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bl>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heme="majorHAnsi"/>
          <w:color w:val="424242"/>
          <w:sz w:val="32"/>
          <w:szCs w:val="32"/>
          <w:shd w:val="clear" w:color="auto" w:fill="FFFFFF"/>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heme="majorHAnsi"/>
          <w:color w:val="424242"/>
          <w:sz w:val="32"/>
          <w:szCs w:val="32"/>
          <w:shd w:val="clear" w:color="auto" w:fill="FFFFFF"/>
        </w:rPr>
      </w:pPr>
      <w:r>
        <w:rPr>
          <w:rFonts w:hint="eastAsia" w:ascii="黑体" w:hAnsi="黑体" w:eastAsia="黑体" w:cstheme="majorHAnsi"/>
          <w:color w:val="424242"/>
          <w:sz w:val="32"/>
          <w:szCs w:val="32"/>
          <w:shd w:val="clear" w:color="auto" w:fill="FFFFFF"/>
        </w:rPr>
        <w:t>五、存在的主要问题及改进情况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424242"/>
          <w:sz w:val="32"/>
          <w:szCs w:val="32"/>
          <w:shd w:val="clear" w:color="auto" w:fill="FFFFFF"/>
        </w:rPr>
      </w:pPr>
      <w:r>
        <w:rPr>
          <w:rFonts w:hint="eastAsia" w:ascii="仿宋_GB2312" w:hAnsi="仿宋_GB2312" w:eastAsia="仿宋_GB2312" w:cs="仿宋_GB2312"/>
          <w:color w:val="424242"/>
          <w:sz w:val="32"/>
          <w:szCs w:val="32"/>
          <w:shd w:val="clear" w:color="auto" w:fill="FFFFFF"/>
        </w:rPr>
        <w:t>2021年，我局信息公开工作虽然取得了一定的成绩，但也存在信息公开不重视、不主动、不够及时、公开载体不完善、公开渠道比较狭窄等问题。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424242"/>
          <w:sz w:val="32"/>
          <w:szCs w:val="32"/>
          <w:shd w:val="clear" w:color="auto" w:fill="FFFFFF"/>
        </w:rPr>
      </w:pPr>
      <w:r>
        <w:rPr>
          <w:rFonts w:hint="eastAsia" w:ascii="仿宋_GB2312" w:hAnsi="仿宋_GB2312" w:eastAsia="仿宋_GB2312" w:cs="仿宋_GB2312"/>
          <w:color w:val="424242"/>
          <w:sz w:val="32"/>
          <w:szCs w:val="32"/>
          <w:shd w:val="clear" w:color="auto" w:fill="FFFFFF"/>
        </w:rPr>
        <w:t>针对上述问题，我局将从以下几个方面进行改进：一是继续完善政府信息公开相关制度，做好监督检查工作。按照县政府统一部署，认真贯彻落实《中华人民共和国政府信息公开条例》，坚持把公开透明作为政府工作的基本制度、推进医药卫生体制改革发展和计生服务管理改革的基础，完善信息公开制度；二是开展业务培训，提升相关单位领导对此工作政治意义重要性的认识，增强具体管理人员业务能力和水平；</w:t>
      </w:r>
      <w:r>
        <w:rPr>
          <w:rFonts w:hint="eastAsia" w:ascii="仿宋_GB2312" w:hAnsi="仿宋_GB2312" w:eastAsia="仿宋_GB2312" w:cs="仿宋_GB2312"/>
          <w:color w:val="424242"/>
          <w:sz w:val="32"/>
          <w:szCs w:val="32"/>
          <w:shd w:val="clear" w:color="auto" w:fill="FFFFFF"/>
          <w:lang w:eastAsia="zh-CN"/>
        </w:rPr>
        <w:t>二是</w:t>
      </w:r>
      <w:r>
        <w:rPr>
          <w:rFonts w:hint="eastAsia" w:ascii="仿宋_GB2312" w:hAnsi="仿宋_GB2312" w:eastAsia="仿宋_GB2312" w:cs="仿宋_GB2312"/>
          <w:color w:val="424242"/>
          <w:sz w:val="32"/>
          <w:szCs w:val="32"/>
          <w:shd w:val="clear" w:color="auto" w:fill="FFFFFF"/>
        </w:rPr>
        <w:t>做好重点领域信息公开。围绕中心工作、重大决策事项、计生政策宣传、改善医疗服务环境等社会热点问题、民生实事等，缓解群众“看病难、看病贵”等重点领域信息公开，加强重要信息发布，积极回应社会关切，提升政府公信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heme="majorHAnsi"/>
          <w:color w:val="424242"/>
          <w:sz w:val="32"/>
          <w:szCs w:val="32"/>
          <w:shd w:val="clear" w:color="auto" w:fill="FFFFFF"/>
        </w:rPr>
      </w:pPr>
      <w:r>
        <w:rPr>
          <w:rFonts w:hint="eastAsia" w:ascii="黑体" w:hAnsi="黑体" w:eastAsia="黑体" w:cstheme="majorHAnsi"/>
          <w:color w:val="424242"/>
          <w:sz w:val="32"/>
          <w:szCs w:val="32"/>
          <w:shd w:val="clear" w:color="auto" w:fill="FFFFFF"/>
        </w:rPr>
        <w:t>六、其他需要报告的事项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424242"/>
          <w:sz w:val="32"/>
          <w:szCs w:val="32"/>
          <w:shd w:val="clear" w:color="auto" w:fill="FFFFFF"/>
        </w:rPr>
      </w:pPr>
      <w:r>
        <w:rPr>
          <w:rFonts w:hint="eastAsia" w:ascii="仿宋_GB2312" w:hAnsi="仿宋_GB2312" w:eastAsia="仿宋_GB2312" w:cs="仿宋_GB2312"/>
          <w:color w:val="424242"/>
          <w:sz w:val="32"/>
          <w:szCs w:val="32"/>
          <w:shd w:val="clear" w:color="auto" w:fill="FFFFFF"/>
        </w:rPr>
        <w:t>无。</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MGI3NTBhOWRhNGQ1NzM0NDI2NTZlNDkxZjEwNDYwMGMifQ=="/>
  </w:docVars>
  <w:rsids>
    <w:rsidRoot w:val="008B1DB5"/>
    <w:rsid w:val="000F701A"/>
    <w:rsid w:val="000F7497"/>
    <w:rsid w:val="00172468"/>
    <w:rsid w:val="0017324C"/>
    <w:rsid w:val="0017467A"/>
    <w:rsid w:val="001A56E9"/>
    <w:rsid w:val="001D6C44"/>
    <w:rsid w:val="001E6045"/>
    <w:rsid w:val="002009DA"/>
    <w:rsid w:val="0022072F"/>
    <w:rsid w:val="00265159"/>
    <w:rsid w:val="00283660"/>
    <w:rsid w:val="002930A5"/>
    <w:rsid w:val="002A62B8"/>
    <w:rsid w:val="00351FFB"/>
    <w:rsid w:val="003A0314"/>
    <w:rsid w:val="003F66EC"/>
    <w:rsid w:val="004518E1"/>
    <w:rsid w:val="00480276"/>
    <w:rsid w:val="004E76A5"/>
    <w:rsid w:val="005A1B08"/>
    <w:rsid w:val="006B04B9"/>
    <w:rsid w:val="007455BB"/>
    <w:rsid w:val="00745BCD"/>
    <w:rsid w:val="007B5F83"/>
    <w:rsid w:val="00803CEC"/>
    <w:rsid w:val="00861B1F"/>
    <w:rsid w:val="008B1DB5"/>
    <w:rsid w:val="00A61501"/>
    <w:rsid w:val="00B56A21"/>
    <w:rsid w:val="00BA341B"/>
    <w:rsid w:val="00DE3C71"/>
    <w:rsid w:val="00EB3C77"/>
    <w:rsid w:val="00F4342D"/>
    <w:rsid w:val="00FD67FD"/>
    <w:rsid w:val="080C2678"/>
    <w:rsid w:val="12121376"/>
    <w:rsid w:val="13AA6085"/>
    <w:rsid w:val="2C3634FF"/>
    <w:rsid w:val="38CC7FAC"/>
    <w:rsid w:val="43AC176E"/>
    <w:rsid w:val="44FE43FF"/>
    <w:rsid w:val="45B222C8"/>
    <w:rsid w:val="66B052CE"/>
    <w:rsid w:val="6F8A1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rPr>
      <w:rFonts w:ascii="Times New Roman" w:hAnsi="Times New Roman" w:cs="Times New Roman"/>
      <w:sz w:val="24"/>
    </w:rPr>
  </w:style>
  <w:style w:type="character" w:styleId="5">
    <w:name w:val="Strong"/>
    <w:basedOn w:val="4"/>
    <w:qFormat/>
    <w:uiPriority w:val="22"/>
    <w:rPr>
      <w:b/>
      <w:bCs/>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2290</Words>
  <Characters>2336</Characters>
  <Lines>19</Lines>
  <Paragraphs>5</Paragraphs>
  <TotalTime>252</TotalTime>
  <ScaleCrop>false</ScaleCrop>
  <LinksUpToDate>false</LinksUpToDate>
  <CharactersWithSpaces>2346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Kerryin213</cp:lastModifiedBy>
  <dcterms:modified xsi:type="dcterms:W3CDTF">2022-09-19T01:53:40Z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1DA41FEFD4D6456EA800309224EF89B0</vt:lpwstr>
  </property>
</Properties>
</file>