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招商服务中心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Times New Roman" w:hAnsi="Times New Roman" w:eastAsia="楷体_GB2312" w:cs="Times New Roman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overflowPunct w:val="0"/>
        <w:snapToGrid w:val="0"/>
        <w:ind w:firstLine="640" w:firstLineChars="200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委、县政府的正确指导下，我单位高度重视电子政务和政府信息公开工作，严格遵照依法公开、真实公正、注重实效的基本原则认真及时地做好政务信息公开工作，现将我单位2021年信息公开年度报告如下：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构建新型政商关系，围绕客商发展需求，“真心实意优服务、真金白银给支持、真抓实干促落实”，真正能够“随叫随到、不叫不到、说到做到、服务周到”，汉阴县招商服务中心2021年出台了《汉阴县亲商安商富商九条承诺》（汉政发〔2021〕19号），为企业提供优质的营商环境保障。出台的《关于印发汉阴县荣誉市民称号认定颁授的办法通知》（汉政办发〔2021〕54号），提升了汉阴影响力和号召力、扩大了对外交流合作的渠道。两个政策的出台，营造全民招商氛围，掀起社会各界支持招商、参与招商的热潮。切实为招商引资工作扎实有效开展提供了政策保障。</w:t>
      </w:r>
    </w:p>
    <w:p>
      <w:pPr>
        <w:spacing w:before="240" w:line="187" w:lineRule="auto"/>
        <w:ind w:firstLine="83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343434"/>
          <w:spacing w:val="-2"/>
          <w:sz w:val="32"/>
          <w:szCs w:val="32"/>
        </w:rPr>
        <w:t>二、主动公开政府信息情况</w:t>
      </w:r>
    </w:p>
    <w:p>
      <w:pPr>
        <w:spacing w:line="63" w:lineRule="exact"/>
      </w:pPr>
    </w:p>
    <w:tbl>
      <w:tblPr>
        <w:tblStyle w:val="11"/>
        <w:tblW w:w="9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431"/>
        <w:gridCol w:w="2431"/>
        <w:gridCol w:w="24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1" w:line="184" w:lineRule="auto"/>
              <w:ind w:firstLine="3971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第二十条第（一）</w:t>
            </w:r>
            <w:r>
              <w:rPr>
                <w:rFonts w:ascii="宋体" w:hAnsi="宋体" w:eastAsia="宋体" w:cs="宋体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4" w:line="184" w:lineRule="auto"/>
              <w:ind w:firstLine="82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4" w:line="184" w:lineRule="auto"/>
              <w:ind w:firstLine="614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4" w:line="184" w:lineRule="auto"/>
              <w:ind w:firstLine="616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4" w:line="184" w:lineRule="auto"/>
              <w:ind w:firstLine="622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4" w:line="183" w:lineRule="auto"/>
              <w:ind w:firstLine="6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规章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5" w:line="184" w:lineRule="auto"/>
              <w:ind w:firstLine="62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7" w:line="184" w:lineRule="auto"/>
              <w:ind w:firstLine="3971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第二十条第（五）</w:t>
            </w:r>
            <w:r>
              <w:rPr>
                <w:rFonts w:ascii="宋体" w:hAnsi="宋体" w:eastAsia="宋体" w:cs="宋体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6" w:line="184" w:lineRule="auto"/>
              <w:ind w:firstLine="82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6" w:line="184" w:lineRule="auto"/>
              <w:ind w:firstLine="2848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8" w:line="184" w:lineRule="auto"/>
              <w:ind w:firstLine="62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0" w:line="184" w:lineRule="auto"/>
              <w:ind w:firstLine="3971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第二十条第（六）</w:t>
            </w:r>
            <w:r>
              <w:rPr>
                <w:rFonts w:ascii="宋体" w:hAnsi="宋体" w:eastAsia="宋体" w:cs="宋体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9" w:line="184" w:lineRule="auto"/>
              <w:ind w:firstLine="82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79" w:line="184" w:lineRule="auto"/>
              <w:ind w:firstLine="2848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1" w:line="184" w:lineRule="auto"/>
              <w:ind w:firstLine="62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行政处罚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3" w:line="184" w:lineRule="auto"/>
              <w:ind w:firstLine="62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2" w:line="184" w:lineRule="auto"/>
              <w:ind w:firstLine="3971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第二十条第（八）</w:t>
            </w:r>
            <w:r>
              <w:rPr>
                <w:rFonts w:ascii="宋体" w:hAnsi="宋体" w:eastAsia="宋体" w:cs="宋体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4" w:line="184" w:lineRule="auto"/>
              <w:ind w:firstLine="82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4" w:line="184" w:lineRule="auto"/>
              <w:ind w:firstLine="2349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本年收费金额（单位：</w:t>
            </w:r>
            <w:r>
              <w:rPr>
                <w:rFonts w:ascii="宋体" w:hAnsi="宋体" w:eastAsia="宋体" w:cs="宋体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286" w:line="184" w:lineRule="auto"/>
              <w:ind w:firstLine="62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行政事业性收费</w:t>
            </w:r>
          </w:p>
        </w:tc>
        <w:tc>
          <w:tcPr>
            <w:tcW w:w="73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3" w:type="default"/>
          <w:pgSz w:w="11916" w:h="16848"/>
          <w:pgMar w:top="1440" w:right="1800" w:bottom="1440" w:left="1800" w:header="0" w:footer="347" w:gutter="0"/>
          <w:cols w:space="720" w:num="1"/>
        </w:sectPr>
      </w:pPr>
    </w:p>
    <w:p>
      <w:pPr>
        <w:spacing w:line="305" w:lineRule="auto"/>
        <w:rPr>
          <w:rFonts w:ascii="仿宋"/>
          <w:sz w:val="21"/>
        </w:rPr>
      </w:pPr>
    </w:p>
    <w:p>
      <w:pPr>
        <w:spacing w:before="104" w:line="187" w:lineRule="auto"/>
        <w:ind w:firstLine="4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343434"/>
          <w:spacing w:val="-2"/>
          <w:sz w:val="32"/>
          <w:szCs w:val="32"/>
        </w:rPr>
        <w:t>三、收到和处理政府信息公开申请情况</w:t>
      </w:r>
    </w:p>
    <w:p>
      <w:pPr>
        <w:spacing w:line="63" w:lineRule="exact"/>
      </w:pPr>
    </w:p>
    <w:tbl>
      <w:tblPr>
        <w:tblStyle w:val="11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42"/>
        <w:gridCol w:w="3218"/>
        <w:gridCol w:w="773"/>
        <w:gridCol w:w="602"/>
        <w:gridCol w:w="688"/>
        <w:gridCol w:w="688"/>
        <w:gridCol w:w="688"/>
        <w:gridCol w:w="688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932" w:type="dxa"/>
            <w:gridSpan w:val="3"/>
            <w:vMerge w:val="restart"/>
            <w:tcBorders>
              <w:bottom w:val="nil"/>
            </w:tcBorders>
            <w:vAlign w:val="center"/>
          </w:tcPr>
          <w:p>
            <w:pPr>
              <w:spacing w:line="312" w:lineRule="auto"/>
              <w:rPr>
                <w:rFonts w:ascii="仿宋"/>
                <w:sz w:val="21"/>
              </w:rPr>
            </w:pPr>
          </w:p>
          <w:p>
            <w:pPr>
              <w:spacing w:line="313" w:lineRule="auto"/>
              <w:rPr>
                <w:rFonts w:ascii="仿宋"/>
                <w:sz w:val="21"/>
              </w:rPr>
            </w:pPr>
          </w:p>
          <w:p>
            <w:pPr>
              <w:spacing w:line="313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127" w:right="107" w:firstLine="1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9"/>
                <w:sz w:val="20"/>
                <w:szCs w:val="20"/>
              </w:rPr>
              <w:t>（本列数据的勾稽关系为：</w:t>
            </w:r>
            <w:r>
              <w:rPr>
                <w:rFonts w:ascii="楷体" w:hAnsi="楷体" w:eastAsia="楷体" w:cs="楷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sz w:val="20"/>
                <w:szCs w:val="20"/>
              </w:rPr>
              <w:t>第一项加第二项之和，等于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>第三项加第四项之和）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spacing w:before="281" w:line="184" w:lineRule="auto"/>
              <w:ind w:firstLine="19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932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73" w:type="dxa"/>
            <w:vMerge w:val="restart"/>
            <w:tcBorders>
              <w:bottom w:val="nil"/>
            </w:tcBorders>
            <w:vAlign w:val="center"/>
          </w:tcPr>
          <w:p>
            <w:pPr>
              <w:spacing w:line="309" w:lineRule="auto"/>
              <w:rPr>
                <w:rFonts w:ascii="仿宋"/>
                <w:sz w:val="21"/>
              </w:rPr>
            </w:pPr>
          </w:p>
          <w:p>
            <w:pPr>
              <w:spacing w:line="309" w:lineRule="auto"/>
              <w:rPr>
                <w:rFonts w:ascii="仿宋"/>
                <w:sz w:val="21"/>
              </w:rPr>
            </w:pPr>
          </w:p>
          <w:p>
            <w:pPr>
              <w:spacing w:line="310" w:lineRule="auto"/>
              <w:rPr>
                <w:rFonts w:ascii="仿宋"/>
                <w:sz w:val="21"/>
              </w:rPr>
            </w:pPr>
          </w:p>
          <w:p>
            <w:pPr>
              <w:spacing w:before="65" w:line="184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自然人</w:t>
            </w:r>
          </w:p>
        </w:tc>
        <w:tc>
          <w:tcPr>
            <w:tcW w:w="3354" w:type="dxa"/>
            <w:gridSpan w:val="5"/>
            <w:vAlign w:val="center"/>
          </w:tcPr>
          <w:p>
            <w:pPr>
              <w:spacing w:before="276" w:line="184" w:lineRule="auto"/>
              <w:ind w:firstLine="9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vAlign w:val="center"/>
          </w:tcPr>
          <w:p>
            <w:pPr>
              <w:spacing w:line="309" w:lineRule="auto"/>
              <w:rPr>
                <w:rFonts w:ascii="仿宋"/>
                <w:sz w:val="21"/>
              </w:rPr>
            </w:pPr>
          </w:p>
          <w:p>
            <w:pPr>
              <w:spacing w:line="310" w:lineRule="auto"/>
              <w:rPr>
                <w:rFonts w:ascii="仿宋"/>
                <w:sz w:val="21"/>
              </w:rPr>
            </w:pPr>
          </w:p>
          <w:p>
            <w:pPr>
              <w:spacing w:line="310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493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434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112" w:righ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商业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企业</w:t>
            </w:r>
          </w:p>
        </w:tc>
        <w:tc>
          <w:tcPr>
            <w:tcW w:w="688" w:type="dxa"/>
            <w:vAlign w:val="center"/>
          </w:tcPr>
          <w:p>
            <w:pPr>
              <w:spacing w:line="434" w:lineRule="auto"/>
              <w:rPr>
                <w:rFonts w:ascii="仿宋"/>
                <w:sz w:val="21"/>
              </w:rPr>
            </w:pPr>
          </w:p>
          <w:p>
            <w:pPr>
              <w:spacing w:before="65" w:line="559" w:lineRule="exact"/>
              <w:ind w:firstLine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7"/>
                <w:sz w:val="20"/>
                <w:szCs w:val="20"/>
              </w:rPr>
              <w:t>科研</w:t>
            </w:r>
          </w:p>
          <w:p>
            <w:pPr>
              <w:spacing w:line="204" w:lineRule="auto"/>
              <w:ind w:firstLine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机构</w:t>
            </w:r>
          </w:p>
        </w:tc>
        <w:tc>
          <w:tcPr>
            <w:tcW w:w="688" w:type="dxa"/>
            <w:vAlign w:val="center"/>
          </w:tcPr>
          <w:p>
            <w:pPr>
              <w:spacing w:before="278" w:line="559" w:lineRule="exact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27"/>
                <w:sz w:val="20"/>
                <w:szCs w:val="20"/>
              </w:rPr>
              <w:t>社会</w:t>
            </w:r>
          </w:p>
          <w:p>
            <w:pPr>
              <w:spacing w:line="204" w:lineRule="auto"/>
              <w:ind w:firstLine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公益</w:t>
            </w: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组织</w:t>
            </w:r>
          </w:p>
        </w:tc>
        <w:tc>
          <w:tcPr>
            <w:tcW w:w="688" w:type="dxa"/>
            <w:vAlign w:val="center"/>
          </w:tcPr>
          <w:p>
            <w:pPr>
              <w:spacing w:before="278" w:line="559" w:lineRule="exact"/>
              <w:ind w:firstLine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7"/>
                <w:sz w:val="20"/>
                <w:szCs w:val="20"/>
              </w:rPr>
              <w:t>法律</w:t>
            </w:r>
          </w:p>
          <w:p>
            <w:pPr>
              <w:spacing w:line="204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服务</w:t>
            </w: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机构</w:t>
            </w:r>
          </w:p>
        </w:tc>
        <w:tc>
          <w:tcPr>
            <w:tcW w:w="688" w:type="dxa"/>
            <w:vAlign w:val="center"/>
          </w:tcPr>
          <w:p>
            <w:pPr>
              <w:spacing w:line="339" w:lineRule="auto"/>
              <w:rPr>
                <w:rFonts w:ascii="仿宋"/>
                <w:sz w:val="21"/>
              </w:rPr>
            </w:pPr>
          </w:p>
          <w:p>
            <w:pPr>
              <w:spacing w:line="340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932" w:type="dxa"/>
            <w:gridSpan w:val="3"/>
            <w:vAlign w:val="center"/>
          </w:tcPr>
          <w:p>
            <w:pPr>
              <w:spacing w:before="279" w:line="183" w:lineRule="auto"/>
              <w:ind w:firstLine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4932" w:type="dxa"/>
            <w:gridSpan w:val="3"/>
            <w:vAlign w:val="center"/>
          </w:tcPr>
          <w:p>
            <w:pPr>
              <w:spacing w:before="280" w:line="183" w:lineRule="auto"/>
              <w:ind w:firstLine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restart"/>
            <w:tcBorders>
              <w:bottom w:val="nil"/>
            </w:tcBorders>
            <w:vAlign w:val="center"/>
          </w:tcPr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line="247" w:lineRule="auto"/>
              <w:rPr>
                <w:rFonts w:ascii="仿宋"/>
                <w:sz w:val="21"/>
              </w:rPr>
            </w:pPr>
          </w:p>
          <w:p>
            <w:pPr>
              <w:spacing w:before="65" w:line="517" w:lineRule="auto"/>
              <w:ind w:left="63" w:righ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三、本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年度办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理结果</w:t>
            </w:r>
          </w:p>
        </w:tc>
        <w:tc>
          <w:tcPr>
            <w:tcW w:w="4160" w:type="dxa"/>
            <w:gridSpan w:val="2"/>
            <w:vAlign w:val="center"/>
          </w:tcPr>
          <w:p>
            <w:pPr>
              <w:spacing w:before="278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（一）予以公开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4160" w:type="dxa"/>
            <w:gridSpan w:val="2"/>
            <w:vAlign w:val="center"/>
          </w:tcPr>
          <w:p>
            <w:pPr>
              <w:spacing w:before="280" w:line="559" w:lineRule="exact"/>
              <w:ind w:firstLine="6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27"/>
                <w:sz w:val="20"/>
                <w:szCs w:val="20"/>
              </w:rPr>
              <w:t>（二）</w:t>
            </w:r>
            <w:r>
              <w:rPr>
                <w:rFonts w:ascii="宋体" w:hAnsi="宋体" w:eastAsia="宋体" w:cs="宋体"/>
                <w:spacing w:val="-21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position w:val="27"/>
                <w:sz w:val="20"/>
                <w:szCs w:val="20"/>
              </w:rPr>
              <w:t>部分公开</w:t>
            </w:r>
            <w:r>
              <w:rPr>
                <w:rFonts w:ascii="楷体" w:hAnsi="楷体" w:eastAsia="楷体" w:cs="楷体"/>
                <w:spacing w:val="-9"/>
                <w:position w:val="27"/>
                <w:sz w:val="20"/>
                <w:szCs w:val="20"/>
              </w:rPr>
              <w:t>（区分处理的，只计这一情形，</w:t>
            </w:r>
          </w:p>
          <w:p>
            <w:pPr>
              <w:spacing w:line="204" w:lineRule="auto"/>
              <w:ind w:firstLine="6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>不计其他情形）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line="242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line="243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65" w:right="85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5"/>
                <w:sz w:val="20"/>
                <w:szCs w:val="20"/>
              </w:rPr>
              <w:t>（三）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5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予公开</w:t>
            </w:r>
          </w:p>
        </w:tc>
        <w:tc>
          <w:tcPr>
            <w:tcW w:w="3218" w:type="dxa"/>
            <w:vAlign w:val="center"/>
          </w:tcPr>
          <w:p>
            <w:pPr>
              <w:spacing w:before="278" w:line="184" w:lineRule="auto"/>
              <w:ind w:firstLine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1.属于国家秘密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9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2.其他法律行政法规禁止公开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8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3.危及“三安全一稳定”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9" w:line="184" w:lineRule="auto"/>
              <w:ind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4.保护第三方合法权益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8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5.属于三类内部事务信息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9" w:line="184" w:lineRule="auto"/>
              <w:ind w:firstLine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6.属于四类过程性信息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9" w:line="184" w:lineRule="auto"/>
              <w:ind w:firstLine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7.属于行政执法案卷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80" w:line="184" w:lineRule="auto"/>
              <w:ind w:firstLine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8.属于行政查询事项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spacing w:line="445" w:lineRule="auto"/>
              <w:rPr>
                <w:rFonts w:ascii="仿宋"/>
                <w:sz w:val="21"/>
              </w:rPr>
            </w:pPr>
          </w:p>
          <w:p>
            <w:pPr>
              <w:spacing w:before="65" w:line="518" w:lineRule="auto"/>
              <w:ind w:left="60" w:right="8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6"/>
                <w:sz w:val="20"/>
                <w:szCs w:val="20"/>
              </w:rPr>
              <w:t>（四）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6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法提供</w:t>
            </w:r>
          </w:p>
        </w:tc>
        <w:tc>
          <w:tcPr>
            <w:tcW w:w="3218" w:type="dxa"/>
            <w:vAlign w:val="center"/>
          </w:tcPr>
          <w:p>
            <w:pPr>
              <w:spacing w:before="279" w:line="184" w:lineRule="auto"/>
              <w:ind w:firstLine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1.本机关不掌握相关政府信息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81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2.没有现成信息需要另行制作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80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3.补正后申请内容仍不明确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spacing w:before="287" w:line="559" w:lineRule="exact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7"/>
                <w:position w:val="27"/>
                <w:sz w:val="20"/>
                <w:szCs w:val="20"/>
              </w:rPr>
              <w:t>（五）</w:t>
            </w:r>
            <w:r>
              <w:rPr>
                <w:rFonts w:ascii="宋体" w:hAnsi="宋体" w:eastAsia="宋体" w:cs="宋体"/>
                <w:spacing w:val="-2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7"/>
                <w:position w:val="27"/>
                <w:sz w:val="20"/>
                <w:szCs w:val="20"/>
              </w:rPr>
              <w:t>不</w:t>
            </w:r>
          </w:p>
          <w:p>
            <w:pPr>
              <w:spacing w:line="204" w:lineRule="auto"/>
              <w:ind w:firstLine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予处理</w:t>
            </w:r>
            <w:bookmarkStart w:id="0" w:name="_GoBack"/>
            <w:bookmarkEnd w:id="0"/>
          </w:p>
        </w:tc>
        <w:tc>
          <w:tcPr>
            <w:tcW w:w="3218" w:type="dxa"/>
            <w:vAlign w:val="center"/>
          </w:tcPr>
          <w:p>
            <w:pPr>
              <w:spacing w:before="281" w:line="184" w:lineRule="auto"/>
              <w:ind w:firstLine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1.信访举报投诉类申请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80" w:line="184" w:lineRule="auto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2.重复申请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4" w:type="default"/>
          <w:pgSz w:w="11916" w:h="16848"/>
          <w:pgMar w:top="1440" w:right="1800" w:bottom="1440" w:left="1800" w:header="0" w:footer="0" w:gutter="0"/>
          <w:cols w:space="720" w:num="1"/>
        </w:sectPr>
      </w:pPr>
    </w:p>
    <w:p/>
    <w:p>
      <w:pPr>
        <w:spacing w:line="37" w:lineRule="exact"/>
      </w:pPr>
    </w:p>
    <w:tbl>
      <w:tblPr>
        <w:tblStyle w:val="11"/>
        <w:tblW w:w="97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42"/>
        <w:gridCol w:w="3218"/>
        <w:gridCol w:w="773"/>
        <w:gridCol w:w="602"/>
        <w:gridCol w:w="688"/>
        <w:gridCol w:w="688"/>
        <w:gridCol w:w="688"/>
        <w:gridCol w:w="688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72" w:type="dxa"/>
            <w:vMerge w:val="restart"/>
            <w:tcBorders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82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3.要求提供公开出版物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77" w:line="184" w:lineRule="auto"/>
              <w:ind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4.无正当理由大量反复申请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tcBorders>
              <w:bottom w:val="nil"/>
            </w:tcBorders>
            <w:vAlign w:val="center"/>
          </w:tcPr>
          <w:p>
            <w:pPr>
              <w:spacing w:before="278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5.要求行政机关确认或重新出具已</w:t>
            </w:r>
          </w:p>
        </w:tc>
        <w:tc>
          <w:tcPr>
            <w:tcW w:w="77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72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tcBorders>
              <w:top w:val="nil"/>
            </w:tcBorders>
            <w:vAlign w:val="center"/>
          </w:tcPr>
          <w:p>
            <w:pPr>
              <w:spacing w:before="196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获取信息</w:t>
            </w:r>
          </w:p>
        </w:tc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0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tcBorders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tcBorders>
              <w:bottom w:val="nil"/>
            </w:tcBorders>
            <w:vAlign w:val="center"/>
          </w:tcPr>
          <w:p>
            <w:pPr>
              <w:spacing w:before="278" w:line="561" w:lineRule="exact"/>
              <w:ind w:firstLine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27"/>
                <w:sz w:val="20"/>
                <w:szCs w:val="20"/>
              </w:rPr>
              <w:t>1.申请人无正当理由逾期不补正、行</w:t>
            </w:r>
          </w:p>
          <w:p>
            <w:pPr>
              <w:spacing w:line="204" w:lineRule="auto"/>
              <w:ind w:firstLine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政机关不再处理其政府信息公开申</w:t>
            </w:r>
          </w:p>
        </w:tc>
        <w:tc>
          <w:tcPr>
            <w:tcW w:w="77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72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71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59" w:right="85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6"/>
                <w:sz w:val="20"/>
                <w:szCs w:val="20"/>
              </w:rPr>
              <w:t>（六）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6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他处理</w:t>
            </w:r>
          </w:p>
        </w:tc>
        <w:tc>
          <w:tcPr>
            <w:tcW w:w="3218" w:type="dxa"/>
            <w:tcBorders>
              <w:top w:val="nil"/>
            </w:tcBorders>
            <w:vAlign w:val="center"/>
          </w:tcPr>
          <w:p>
            <w:pPr>
              <w:spacing w:before="197" w:line="183" w:lineRule="auto"/>
              <w:ind w:firstLine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请</w:t>
            </w:r>
          </w:p>
        </w:tc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0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tcBorders>
              <w:bottom w:val="nil"/>
            </w:tcBorders>
            <w:vAlign w:val="center"/>
          </w:tcPr>
          <w:p>
            <w:pPr>
              <w:spacing w:before="281" w:line="559" w:lineRule="exact"/>
              <w:ind w:firstLine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27"/>
                <w:sz w:val="20"/>
                <w:szCs w:val="20"/>
              </w:rPr>
              <w:t>2.申请人逾期未按收费通知要求缴</w:t>
            </w:r>
          </w:p>
          <w:p>
            <w:pPr>
              <w:spacing w:line="204" w:lineRule="auto"/>
              <w:ind w:firstLine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纳费用、行政机关不再处理其政府信</w:t>
            </w:r>
          </w:p>
        </w:tc>
        <w:tc>
          <w:tcPr>
            <w:tcW w:w="77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72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tcBorders>
              <w:top w:val="nil"/>
            </w:tcBorders>
            <w:vAlign w:val="center"/>
          </w:tcPr>
          <w:p>
            <w:pPr>
              <w:spacing w:before="195" w:line="184" w:lineRule="auto"/>
              <w:ind w:firstLine="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息公开申请</w:t>
            </w:r>
          </w:p>
        </w:tc>
        <w:tc>
          <w:tcPr>
            <w:tcW w:w="77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02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  <w:tc>
          <w:tcPr>
            <w:tcW w:w="6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94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218" w:type="dxa"/>
            <w:vAlign w:val="center"/>
          </w:tcPr>
          <w:p>
            <w:pPr>
              <w:spacing w:before="282" w:line="183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3.其他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77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4160" w:type="dxa"/>
            <w:gridSpan w:val="2"/>
            <w:vAlign w:val="center"/>
          </w:tcPr>
          <w:p>
            <w:pPr>
              <w:spacing w:before="280" w:line="184" w:lineRule="auto"/>
              <w:ind w:firstLine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9"/>
                <w:w w:val="98"/>
                <w:sz w:val="20"/>
                <w:szCs w:val="20"/>
              </w:rPr>
              <w:t>（七）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w w:val="98"/>
                <w:sz w:val="20"/>
                <w:szCs w:val="20"/>
              </w:rPr>
              <w:t>总计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932" w:type="dxa"/>
            <w:gridSpan w:val="3"/>
            <w:vAlign w:val="center"/>
          </w:tcPr>
          <w:p>
            <w:pPr>
              <w:spacing w:before="282" w:line="184" w:lineRule="auto"/>
              <w:ind w:firstLine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四、结转下年度继续办理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"/>
                <w:sz w:val="21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</w:tbl>
    <w:p>
      <w:pPr>
        <w:spacing w:line="277" w:lineRule="auto"/>
        <w:rPr>
          <w:rFonts w:ascii="仿宋"/>
          <w:sz w:val="21"/>
        </w:rPr>
      </w:pPr>
    </w:p>
    <w:p>
      <w:pPr>
        <w:spacing w:line="277" w:lineRule="auto"/>
        <w:rPr>
          <w:rFonts w:ascii="仿宋"/>
          <w:sz w:val="21"/>
        </w:rPr>
      </w:pPr>
    </w:p>
    <w:p>
      <w:pPr>
        <w:spacing w:before="104" w:line="187" w:lineRule="auto"/>
        <w:ind w:firstLine="4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343434"/>
          <w:spacing w:val="-2"/>
          <w:sz w:val="32"/>
          <w:szCs w:val="32"/>
        </w:rPr>
        <w:t>四、政府信息公开行政复议、行政诉讼情况</w:t>
      </w:r>
    </w:p>
    <w:p>
      <w:pPr>
        <w:spacing w:line="61" w:lineRule="exact"/>
      </w:pPr>
    </w:p>
    <w:tbl>
      <w:tblPr>
        <w:tblStyle w:val="11"/>
        <w:tblW w:w="975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50"/>
        <w:gridCol w:w="650"/>
        <w:gridCol w:w="650"/>
        <w:gridCol w:w="650"/>
        <w:gridCol w:w="6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249" w:type="dxa"/>
            <w:gridSpan w:val="5"/>
            <w:vAlign w:val="center"/>
          </w:tcPr>
          <w:p>
            <w:pPr>
              <w:spacing w:before="280" w:line="184" w:lineRule="auto"/>
              <w:ind w:firstLine="1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vAlign w:val="center"/>
          </w:tcPr>
          <w:p>
            <w:pPr>
              <w:spacing w:before="280" w:line="184" w:lineRule="auto"/>
              <w:ind w:firstLine="2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57" w:type="dxa"/>
            <w:vMerge w:val="restart"/>
            <w:tcBorders>
              <w:bottom w:val="nil"/>
            </w:tcBorders>
            <w:vAlign w:val="center"/>
          </w:tcPr>
          <w:p>
            <w:pPr>
              <w:spacing w:line="440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128" w:right="12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维持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>
            <w:pPr>
              <w:spacing w:line="440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123" w:righ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纠正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>
            <w:pPr>
              <w:spacing w:line="440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122" w:right="123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结果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>
            <w:pPr>
              <w:spacing w:line="440" w:lineRule="auto"/>
              <w:rPr>
                <w:rFonts w:ascii="仿宋"/>
                <w:sz w:val="21"/>
              </w:rPr>
            </w:pPr>
          </w:p>
          <w:p>
            <w:pPr>
              <w:spacing w:before="65" w:line="516" w:lineRule="auto"/>
              <w:ind w:left="129" w:right="123" w:firstLine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审结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center"/>
          </w:tcPr>
          <w:p>
            <w:pPr>
              <w:spacing w:line="342" w:lineRule="auto"/>
              <w:rPr>
                <w:rFonts w:ascii="仿宋"/>
                <w:sz w:val="21"/>
              </w:rPr>
            </w:pPr>
          </w:p>
          <w:p>
            <w:pPr>
              <w:spacing w:line="343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总计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spacing w:before="274" w:line="184" w:lineRule="auto"/>
              <w:ind w:firstLine="8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before="274" w:line="184" w:lineRule="auto"/>
              <w:ind w:firstLine="1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657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before="279" w:line="559" w:lineRule="exact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27"/>
                <w:sz w:val="20"/>
                <w:szCs w:val="20"/>
              </w:rPr>
              <w:t>结果</w:t>
            </w:r>
          </w:p>
          <w:p>
            <w:pPr>
              <w:spacing w:line="204" w:lineRule="auto"/>
              <w:ind w:firstLine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维持</w:t>
            </w:r>
          </w:p>
        </w:tc>
        <w:tc>
          <w:tcPr>
            <w:tcW w:w="648" w:type="dxa"/>
            <w:vAlign w:val="center"/>
          </w:tcPr>
          <w:p>
            <w:pPr>
              <w:spacing w:before="279" w:line="559" w:lineRule="exact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27"/>
                <w:sz w:val="20"/>
                <w:szCs w:val="20"/>
              </w:rPr>
              <w:t>结果</w:t>
            </w:r>
          </w:p>
          <w:p>
            <w:pPr>
              <w:spacing w:line="204" w:lineRule="auto"/>
              <w:ind w:firstLine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纠正</w:t>
            </w:r>
          </w:p>
        </w:tc>
        <w:tc>
          <w:tcPr>
            <w:tcW w:w="649" w:type="dxa"/>
            <w:vAlign w:val="center"/>
          </w:tcPr>
          <w:p>
            <w:pPr>
              <w:spacing w:before="279" w:line="559" w:lineRule="exact"/>
              <w:ind w:firstLine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7"/>
                <w:sz w:val="20"/>
                <w:szCs w:val="20"/>
              </w:rPr>
              <w:t>其他</w:t>
            </w:r>
          </w:p>
          <w:p>
            <w:pPr>
              <w:spacing w:line="204" w:lineRule="auto"/>
              <w:ind w:firstLine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结果</w:t>
            </w:r>
          </w:p>
        </w:tc>
        <w:tc>
          <w:tcPr>
            <w:tcW w:w="649" w:type="dxa"/>
            <w:vAlign w:val="center"/>
          </w:tcPr>
          <w:p>
            <w:pPr>
              <w:spacing w:before="279" w:line="559" w:lineRule="exact"/>
              <w:ind w:firstLine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position w:val="27"/>
                <w:sz w:val="20"/>
                <w:szCs w:val="20"/>
              </w:rPr>
              <w:t>尚未</w:t>
            </w:r>
          </w:p>
          <w:p>
            <w:pPr>
              <w:spacing w:line="204" w:lineRule="auto"/>
              <w:ind w:firstLine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审结</w:t>
            </w:r>
          </w:p>
        </w:tc>
        <w:tc>
          <w:tcPr>
            <w:tcW w:w="649" w:type="dxa"/>
            <w:vAlign w:val="center"/>
          </w:tcPr>
          <w:p>
            <w:pPr>
              <w:spacing w:line="433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总计</w:t>
            </w:r>
          </w:p>
        </w:tc>
        <w:tc>
          <w:tcPr>
            <w:tcW w:w="650" w:type="dxa"/>
            <w:vAlign w:val="center"/>
          </w:tcPr>
          <w:p>
            <w:pPr>
              <w:spacing w:before="279" w:line="559" w:lineRule="exact"/>
              <w:ind w:firstLine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27"/>
                <w:sz w:val="20"/>
                <w:szCs w:val="20"/>
              </w:rPr>
              <w:t>结果</w:t>
            </w:r>
          </w:p>
          <w:p>
            <w:pPr>
              <w:spacing w:line="204" w:lineRule="auto"/>
              <w:ind w:firstLine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维持</w:t>
            </w:r>
          </w:p>
        </w:tc>
        <w:tc>
          <w:tcPr>
            <w:tcW w:w="650" w:type="dxa"/>
            <w:vAlign w:val="center"/>
          </w:tcPr>
          <w:p>
            <w:pPr>
              <w:spacing w:before="279" w:line="559" w:lineRule="exact"/>
              <w:ind w:firstLine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position w:val="27"/>
                <w:sz w:val="20"/>
                <w:szCs w:val="20"/>
              </w:rPr>
              <w:t>结果</w:t>
            </w:r>
          </w:p>
          <w:p>
            <w:pPr>
              <w:spacing w:line="204" w:lineRule="auto"/>
              <w:ind w:firstLine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纠正</w:t>
            </w:r>
          </w:p>
        </w:tc>
        <w:tc>
          <w:tcPr>
            <w:tcW w:w="650" w:type="dxa"/>
            <w:vAlign w:val="center"/>
          </w:tcPr>
          <w:p>
            <w:pPr>
              <w:spacing w:before="279" w:line="559" w:lineRule="exact"/>
              <w:ind w:firstLine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7"/>
                <w:sz w:val="20"/>
                <w:szCs w:val="20"/>
              </w:rPr>
              <w:t>其他</w:t>
            </w:r>
          </w:p>
          <w:p>
            <w:pPr>
              <w:spacing w:line="204" w:lineRule="auto"/>
              <w:ind w:firstLine="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结果</w:t>
            </w:r>
          </w:p>
        </w:tc>
        <w:tc>
          <w:tcPr>
            <w:tcW w:w="650" w:type="dxa"/>
            <w:vAlign w:val="center"/>
          </w:tcPr>
          <w:p>
            <w:pPr>
              <w:spacing w:before="279" w:line="559" w:lineRule="exact"/>
              <w:ind w:firstLine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position w:val="27"/>
                <w:sz w:val="20"/>
                <w:szCs w:val="20"/>
              </w:rPr>
              <w:t>尚未</w:t>
            </w:r>
          </w:p>
          <w:p>
            <w:pPr>
              <w:spacing w:line="204" w:lineRule="auto"/>
              <w:ind w:firstLine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审结</w:t>
            </w:r>
          </w:p>
        </w:tc>
        <w:tc>
          <w:tcPr>
            <w:tcW w:w="660" w:type="dxa"/>
            <w:vAlign w:val="center"/>
          </w:tcPr>
          <w:p>
            <w:pPr>
              <w:spacing w:line="433" w:lineRule="auto"/>
              <w:rPr>
                <w:rFonts w:ascii="仿宋"/>
                <w:sz w:val="21"/>
              </w:rPr>
            </w:pPr>
          </w:p>
          <w:p>
            <w:pPr>
              <w:spacing w:before="65" w:line="183" w:lineRule="auto"/>
              <w:ind w:firstLine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Calibri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" w:eastAsia="宋体"/>
                <w:sz w:val="21"/>
                <w:lang w:val="en-US" w:eastAsia="zh-CN"/>
              </w:rPr>
            </w:pPr>
            <w:r>
              <w:rPr>
                <w:rFonts w:hint="eastAsia" w:ascii="仿宋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存在的问题：一是对《中华人民共和国政府信息公开条例》学习不够深入，没有深刻领会和掌握其要义。二是公开形式和内容不丰富。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：一是加强思想认识，增强公开的主动性和自觉性。二是严格按照《中华人民共和国政府信息公开条例》和省、市、县政府关于政府信息公开工作的各项要求，进一步规范工作程序，创新工作方式，多形式、多渠道做好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楷体_GB2312"/>
          <w:bCs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我单位暂无其他需要报告的事项。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NTBhOWRhNGQ1NzM0NDI2NTZlNDkxZjEwNDYwMGMifQ=="/>
  </w:docVars>
  <w:rsids>
    <w:rsidRoot w:val="00EF7B70"/>
    <w:rsid w:val="00006678"/>
    <w:rsid w:val="00081083"/>
    <w:rsid w:val="00174D1F"/>
    <w:rsid w:val="001A3C3B"/>
    <w:rsid w:val="001C1E6C"/>
    <w:rsid w:val="001E7549"/>
    <w:rsid w:val="0026637E"/>
    <w:rsid w:val="00293F12"/>
    <w:rsid w:val="002F55AB"/>
    <w:rsid w:val="00300A0D"/>
    <w:rsid w:val="0031572D"/>
    <w:rsid w:val="003F7845"/>
    <w:rsid w:val="00443C57"/>
    <w:rsid w:val="004D1C88"/>
    <w:rsid w:val="0050646F"/>
    <w:rsid w:val="00597908"/>
    <w:rsid w:val="005C0F0F"/>
    <w:rsid w:val="005E231C"/>
    <w:rsid w:val="00670A3F"/>
    <w:rsid w:val="006753F3"/>
    <w:rsid w:val="006B6AD6"/>
    <w:rsid w:val="007462BF"/>
    <w:rsid w:val="00767DF0"/>
    <w:rsid w:val="007A0997"/>
    <w:rsid w:val="007E31C6"/>
    <w:rsid w:val="007F315F"/>
    <w:rsid w:val="00843D20"/>
    <w:rsid w:val="00886541"/>
    <w:rsid w:val="00943946"/>
    <w:rsid w:val="00965940"/>
    <w:rsid w:val="00967489"/>
    <w:rsid w:val="009D05ED"/>
    <w:rsid w:val="009D6D8C"/>
    <w:rsid w:val="00A07F8E"/>
    <w:rsid w:val="00A5747A"/>
    <w:rsid w:val="00A81F68"/>
    <w:rsid w:val="00A85DDF"/>
    <w:rsid w:val="00B634B1"/>
    <w:rsid w:val="00B92F60"/>
    <w:rsid w:val="00D136C3"/>
    <w:rsid w:val="00D94766"/>
    <w:rsid w:val="00DC1B5D"/>
    <w:rsid w:val="00E177D4"/>
    <w:rsid w:val="00E358A5"/>
    <w:rsid w:val="00E778D9"/>
    <w:rsid w:val="00E96A1E"/>
    <w:rsid w:val="00EF7B70"/>
    <w:rsid w:val="00F0474C"/>
    <w:rsid w:val="00F05C46"/>
    <w:rsid w:val="00FB7545"/>
    <w:rsid w:val="00FC4ADE"/>
    <w:rsid w:val="0D6E5E83"/>
    <w:rsid w:val="2C4A3918"/>
    <w:rsid w:val="376932B2"/>
    <w:rsid w:val="43D73A08"/>
    <w:rsid w:val="46B974C0"/>
    <w:rsid w:val="47DD5262"/>
    <w:rsid w:val="566C73E3"/>
    <w:rsid w:val="56961FCB"/>
    <w:rsid w:val="56DA167E"/>
    <w:rsid w:val="68014CBD"/>
    <w:rsid w:val="73D523FF"/>
    <w:rsid w:val="7C820AED"/>
    <w:rsid w:val="7E1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1466</Words>
  <Characters>1502</Characters>
  <Lines>53</Lines>
  <Paragraphs>15</Paragraphs>
  <TotalTime>6</TotalTime>
  <ScaleCrop>false</ScaleCrop>
  <LinksUpToDate>false</LinksUpToDate>
  <CharactersWithSpaces>1525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2022-01-16T05:22:00Z</dcterms:created>
  <dc:creator>雪</dc:creator>
  <cp:lastModifiedBy>Kerryin213</cp:lastModifiedBy>
  <cp:lastPrinted>2022-01-18T12:55:00Z</cp:lastPrinted>
  <dcterms:modified xsi:type="dcterms:W3CDTF">2022-09-19T01:16:03Z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3A765C868AA64688B82C6CD6B2611EFB</vt:lpwstr>
  </property>
</Properties>
</file>