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2022年省级产业结构调整专项资金(工业节能)绩效目标表</w:t>
      </w:r>
    </w:p>
    <w:p>
      <w:pPr>
        <w:spacing w:before="120" w:line="208" w:lineRule="auto"/>
        <w:ind w:left="4385"/>
        <w:rPr>
          <w:rFonts w:hint="eastAsia" w:ascii="Times New Roman" w:hAnsi="Times New Roman" w:eastAsia="宋体" w:cs="Times New Roman"/>
          <w:spacing w:val="4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pacing w:val="4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pacing w:val="4"/>
          <w:sz w:val="28"/>
          <w:szCs w:val="28"/>
        </w:rPr>
        <w:t>2022年度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  <w:lang w:eastAsia="zh-CN"/>
        </w:rPr>
        <w:t>）</w:t>
      </w:r>
    </w:p>
    <w:p>
      <w:pPr>
        <w:spacing w:before="120" w:line="208" w:lineRule="auto"/>
        <w:ind w:left="4385"/>
        <w:rPr>
          <w:rFonts w:hint="eastAsia" w:ascii="Times New Roman" w:hAnsi="Times New Roman" w:eastAsia="宋体" w:cs="Times New Roman"/>
          <w:spacing w:val="4"/>
          <w:sz w:val="28"/>
          <w:szCs w:val="28"/>
          <w:lang w:eastAsia="zh-CN"/>
        </w:rPr>
      </w:pPr>
    </w:p>
    <w:tbl>
      <w:tblPr>
        <w:tblStyle w:val="4"/>
        <w:tblW w:w="93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549"/>
        <w:gridCol w:w="859"/>
        <w:gridCol w:w="1778"/>
        <w:gridCol w:w="1728"/>
        <w:gridCol w:w="829"/>
        <w:gridCol w:w="699"/>
        <w:gridCol w:w="979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220" w:lineRule="auto"/>
              <w:ind w:left="634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专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项名称</w:t>
            </w:r>
          </w:p>
        </w:tc>
        <w:tc>
          <w:tcPr>
            <w:tcW w:w="7431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219" w:lineRule="auto"/>
              <w:ind w:left="2202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18"/>
                <w:szCs w:val="18"/>
              </w:rPr>
              <w:t>2022年省级产业</w:t>
            </w:r>
            <w:r>
              <w:rPr>
                <w:rFonts w:hint="default" w:ascii="Times New Roman" w:hAnsi="Times New Roman" w:cs="Times New Roman" w:eastAsiaTheme="minorEastAsia"/>
                <w:spacing w:val="1"/>
                <w:sz w:val="18"/>
                <w:szCs w:val="18"/>
              </w:rPr>
              <w:t>结构调整专项资金(工业节能)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8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634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18"/>
                <w:szCs w:val="18"/>
                <w:lang w:eastAsia="zh-CN"/>
              </w:rPr>
              <w:t>市级</w:t>
            </w:r>
            <w:r>
              <w:rPr>
                <w:rFonts w:hint="default" w:ascii="Times New Roman" w:hAnsi="Times New Roman" w:cs="Times New Roman" w:eastAsiaTheme="minorEastAsia"/>
                <w:spacing w:val="4"/>
                <w:sz w:val="18"/>
                <w:szCs w:val="18"/>
              </w:rPr>
              <w:t>主管部门</w:t>
            </w:r>
          </w:p>
        </w:tc>
        <w:tc>
          <w:tcPr>
            <w:tcW w:w="35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0" w:line="219" w:lineRule="auto"/>
              <w:ind w:left="921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pacing w:val="1"/>
                <w:sz w:val="18"/>
                <w:szCs w:val="18"/>
                <w:lang w:eastAsia="zh-CN"/>
              </w:rPr>
              <w:t>安康市</w:t>
            </w:r>
            <w:r>
              <w:rPr>
                <w:rFonts w:hint="default" w:ascii="Times New Roman" w:hAnsi="Times New Roman" w:cs="Times New Roman" w:eastAsiaTheme="minorEastAsia"/>
                <w:spacing w:val="1"/>
                <w:sz w:val="18"/>
                <w:szCs w:val="18"/>
              </w:rPr>
              <w:t>发展和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改革委员会</w:t>
            </w:r>
          </w:p>
        </w:tc>
        <w:tc>
          <w:tcPr>
            <w:tcW w:w="15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220" w:lineRule="auto"/>
              <w:ind w:left="4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实施期限</w:t>
            </w:r>
          </w:p>
        </w:tc>
        <w:tc>
          <w:tcPr>
            <w:tcW w:w="23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19" w:lineRule="auto"/>
              <w:ind w:left="1078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48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pacing w:val="3"/>
                <w:sz w:val="18"/>
                <w:szCs w:val="18"/>
                <w:lang w:eastAsia="zh-CN"/>
              </w:rPr>
              <w:t>县</w:t>
            </w:r>
            <w:r>
              <w:rPr>
                <w:rFonts w:hint="default" w:ascii="Times New Roman" w:hAnsi="Times New Roman" w:cs="Times New Roman" w:eastAsiaTheme="minorEastAsia"/>
                <w:spacing w:val="3"/>
                <w:sz w:val="18"/>
                <w:szCs w:val="18"/>
              </w:rPr>
              <w:t>级主管部</w:t>
            </w:r>
            <w:r>
              <w:rPr>
                <w:rFonts w:hint="default" w:ascii="Times New Roman" w:hAnsi="Times New Roman" w:cs="Times New Roman" w:eastAsiaTheme="minorEastAsia"/>
                <w:spacing w:val="1"/>
                <w:sz w:val="18"/>
                <w:szCs w:val="18"/>
              </w:rPr>
              <w:t>门</w:t>
            </w:r>
          </w:p>
        </w:tc>
        <w:tc>
          <w:tcPr>
            <w:tcW w:w="35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0" w:line="219" w:lineRule="auto"/>
              <w:ind w:left="921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1"/>
                <w:sz w:val="18"/>
                <w:szCs w:val="18"/>
                <w:lang w:eastAsia="zh-CN"/>
              </w:rPr>
              <w:t>汉阴县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发展和改革</w:t>
            </w:r>
            <w:r>
              <w:rPr>
                <w:rFonts w:hint="eastAsia" w:ascii="Times New Roman" w:hAnsi="Times New Roman" w:cs="Times New Roman" w:eastAsiaTheme="minorEastAsia"/>
                <w:spacing w:val="-1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15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883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  <w:p>
            <w:pPr>
              <w:spacing w:before="49" w:line="201" w:lineRule="exact"/>
              <w:ind w:left="634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4"/>
                <w:position w:val="3"/>
                <w:sz w:val="18"/>
                <w:szCs w:val="18"/>
              </w:rPr>
              <w:t>资</w:t>
            </w:r>
            <w:r>
              <w:rPr>
                <w:rFonts w:hint="default" w:ascii="Times New Roman" w:hAnsi="Times New Roman" w:cs="Times New Roman" w:eastAsiaTheme="minorEastAsia"/>
                <w:spacing w:val="-2"/>
                <w:position w:val="3"/>
                <w:sz w:val="18"/>
                <w:szCs w:val="18"/>
              </w:rPr>
              <w:t>金金额</w:t>
            </w:r>
          </w:p>
          <w:p>
            <w:pPr>
              <w:spacing w:line="220" w:lineRule="auto"/>
              <w:ind w:left="70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8"/>
                <w:sz w:val="18"/>
                <w:szCs w:val="18"/>
              </w:rPr>
              <w:t>(万元)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19" w:lineRule="auto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5"/>
                <w:sz w:val="18"/>
                <w:szCs w:val="18"/>
              </w:rPr>
              <w:t>实</w:t>
            </w:r>
            <w:r>
              <w:rPr>
                <w:rFonts w:hint="default" w:ascii="Times New Roman" w:hAnsi="Times New Roman" w:cs="Times New Roman" w:eastAsiaTheme="minorEastAsia"/>
                <w:spacing w:val="3"/>
                <w:sz w:val="18"/>
                <w:szCs w:val="18"/>
              </w:rPr>
              <w:t>施期资金总额;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20" w:lineRule="auto"/>
              <w:ind w:left="573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18"/>
                <w:szCs w:val="18"/>
                <w:lang w:val="en-US" w:eastAsia="zh-CN"/>
              </w:rPr>
              <w:t>1300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万元</w:t>
            </w:r>
          </w:p>
        </w:tc>
        <w:tc>
          <w:tcPr>
            <w:tcW w:w="15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19" w:lineRule="auto"/>
              <w:ind w:left="16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15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pacing w:val="10"/>
                <w:sz w:val="18"/>
                <w:szCs w:val="18"/>
              </w:rPr>
              <w:t>度资金总额：</w:t>
            </w:r>
          </w:p>
        </w:tc>
        <w:tc>
          <w:tcPr>
            <w:tcW w:w="23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20" w:lineRule="auto"/>
              <w:ind w:left="888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18"/>
                <w:szCs w:val="18"/>
                <w:lang w:val="en-US" w:eastAsia="zh-CN"/>
              </w:rPr>
              <w:t>1300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883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19" w:lineRule="auto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其中：财政拨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款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20" w:lineRule="auto"/>
              <w:ind w:left="603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8"/>
                <w:sz w:val="18"/>
                <w:szCs w:val="18"/>
              </w:rPr>
              <w:t>90万元</w:t>
            </w:r>
          </w:p>
        </w:tc>
        <w:tc>
          <w:tcPr>
            <w:tcW w:w="15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19" w:lineRule="auto"/>
              <w:ind w:left="16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其中：财政拨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款</w:t>
            </w:r>
          </w:p>
        </w:tc>
        <w:tc>
          <w:tcPr>
            <w:tcW w:w="23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20" w:lineRule="auto"/>
              <w:ind w:left="928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90万元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83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0" w:lineRule="auto"/>
              <w:ind w:left="472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8"/>
                <w:sz w:val="18"/>
                <w:szCs w:val="18"/>
              </w:rPr>
              <w:t>其</w:t>
            </w:r>
            <w:r>
              <w:rPr>
                <w:rFonts w:hint="default" w:ascii="Times New Roman" w:hAnsi="Times New Roman" w:cs="Times New Roman" w:eastAsiaTheme="minorEastAsia"/>
                <w:spacing w:val="6"/>
                <w:sz w:val="18"/>
                <w:szCs w:val="18"/>
              </w:rPr>
              <w:t>他资金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220" w:lineRule="auto"/>
              <w:ind w:left="573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pacing w:val="6"/>
                <w:sz w:val="18"/>
                <w:szCs w:val="18"/>
                <w:lang w:val="en-US" w:eastAsia="zh-CN"/>
              </w:rPr>
              <w:t>1210</w:t>
            </w:r>
            <w:r>
              <w:rPr>
                <w:rFonts w:hint="default" w:ascii="Times New Roman" w:hAnsi="Times New Roman" w:cs="Times New Roman" w:eastAsiaTheme="minorEastAsia"/>
                <w:spacing w:val="4"/>
                <w:sz w:val="18"/>
                <w:szCs w:val="18"/>
              </w:rPr>
              <w:t>万元</w:t>
            </w:r>
          </w:p>
        </w:tc>
        <w:tc>
          <w:tcPr>
            <w:tcW w:w="15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220" w:lineRule="auto"/>
              <w:ind w:left="32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其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他资金</w:t>
            </w:r>
          </w:p>
        </w:tc>
        <w:tc>
          <w:tcPr>
            <w:tcW w:w="23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220" w:lineRule="auto"/>
              <w:ind w:left="888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18"/>
                <w:szCs w:val="18"/>
                <w:lang w:val="en-US" w:eastAsia="zh-CN"/>
              </w:rPr>
              <w:t>1210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7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spacing w:before="219" w:line="217" w:lineRule="auto"/>
              <w:ind w:left="19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总体目标</w:t>
            </w:r>
          </w:p>
        </w:tc>
        <w:tc>
          <w:tcPr>
            <w:tcW w:w="491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20" w:lineRule="auto"/>
              <w:ind w:left="2019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实施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期总目标</w:t>
            </w:r>
          </w:p>
        </w:tc>
        <w:tc>
          <w:tcPr>
            <w:tcW w:w="392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1656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7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91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" w:line="253" w:lineRule="auto"/>
              <w:ind w:left="1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16"/>
                <w:sz w:val="18"/>
                <w:szCs w:val="18"/>
              </w:rPr>
              <w:t>发</w:t>
            </w:r>
            <w:r>
              <w:rPr>
                <w:rFonts w:hint="default" w:ascii="Times New Roman" w:hAnsi="Times New Roman" w:cs="Times New Roman" w:eastAsiaTheme="minorEastAsia"/>
                <w:spacing w:val="9"/>
                <w:sz w:val="18"/>
                <w:szCs w:val="18"/>
              </w:rPr>
              <w:t>挥</w:t>
            </w:r>
            <w:r>
              <w:rPr>
                <w:rFonts w:hint="default" w:ascii="Times New Roman" w:hAnsi="Times New Roman" w:cs="Times New Roman" w:eastAsiaTheme="minorEastAsia"/>
                <w:spacing w:val="8"/>
                <w:sz w:val="18"/>
                <w:szCs w:val="18"/>
              </w:rPr>
              <w:t>省级节能资金激励</w:t>
            </w:r>
            <w:r>
              <w:rPr>
                <w:rFonts w:hint="eastAsia" w:ascii="Times New Roman" w:hAnsi="Times New Roman" w:cs="Times New Roman" w:eastAsiaTheme="minorEastAsia"/>
                <w:spacing w:val="8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pacing w:val="8"/>
                <w:sz w:val="18"/>
                <w:szCs w:val="18"/>
              </w:rPr>
              <w:t>带动作用，引导社会资本参与节能环保领域项目建</w:t>
            </w:r>
            <w:r>
              <w:rPr>
                <w:rFonts w:hint="default" w:ascii="Times New Roman" w:hAnsi="Times New Roman" w:cs="Times New Roman" w:eastAsiaTheme="minorEastAsia"/>
                <w:spacing w:val="24"/>
                <w:sz w:val="18"/>
                <w:szCs w:val="18"/>
              </w:rPr>
              <w:t>设</w:t>
            </w:r>
            <w:r>
              <w:rPr>
                <w:rFonts w:hint="default" w:ascii="Times New Roman" w:hAnsi="Times New Roman" w:cs="Times New Roman" w:eastAsiaTheme="minorEastAsia"/>
                <w:spacing w:val="14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pacing w:val="12"/>
                <w:sz w:val="18"/>
                <w:szCs w:val="18"/>
              </w:rPr>
              <w:t>促进节能、环保、循环经济综合利用项目尽快落地实施</w:t>
            </w:r>
            <w:r>
              <w:rPr>
                <w:rFonts w:hint="default" w:ascii="Times New Roman" w:hAnsi="Times New Roman" w:cs="Times New Roman" w:eastAsiaTheme="minorEastAsia"/>
                <w:spacing w:val="12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92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" w:line="239" w:lineRule="auto"/>
              <w:ind w:left="16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10"/>
                <w:sz w:val="18"/>
                <w:szCs w:val="18"/>
              </w:rPr>
              <w:t>发挥省</w:t>
            </w:r>
            <w:r>
              <w:rPr>
                <w:rFonts w:hint="default" w:ascii="Times New Roman" w:hAnsi="Times New Roman" w:cs="Times New Roman" w:eastAsiaTheme="minorEastAsia"/>
                <w:spacing w:val="-8"/>
                <w:sz w:val="18"/>
                <w:szCs w:val="18"/>
              </w:rPr>
              <w:t>级</w:t>
            </w:r>
            <w:r>
              <w:rPr>
                <w:rFonts w:hint="default" w:ascii="Times New Roman" w:hAnsi="Times New Roman" w:cs="Times New Roman" w:eastAsiaTheme="minorEastAsia"/>
                <w:spacing w:val="-5"/>
                <w:sz w:val="18"/>
                <w:szCs w:val="18"/>
              </w:rPr>
              <w:t>节能资金激励、带动作用，引导社会资本参与节能环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18"/>
                <w:szCs w:val="18"/>
              </w:rPr>
              <w:t>保领域</w:t>
            </w:r>
            <w:r>
              <w:rPr>
                <w:rFonts w:hint="default" w:ascii="Times New Roman" w:hAnsi="Times New Roman" w:cs="Times New Roman" w:eastAsiaTheme="minorEastAsia"/>
                <w:spacing w:val="-7"/>
                <w:sz w:val="18"/>
                <w:szCs w:val="18"/>
              </w:rPr>
              <w:t>项</w:t>
            </w:r>
            <w:r>
              <w:rPr>
                <w:rFonts w:hint="default" w:ascii="Times New Roman" w:hAnsi="Times New Roman" w:cs="Times New Roman" w:eastAsiaTheme="minorEastAsia"/>
                <w:spacing w:val="-5"/>
                <w:sz w:val="18"/>
                <w:szCs w:val="18"/>
              </w:rPr>
              <w:t>目建设，促进节能、环保、循环经济综合利用项目尽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14"/>
                <w:sz w:val="18"/>
                <w:szCs w:val="18"/>
              </w:rPr>
              <w:t>快</w:t>
            </w:r>
            <w:r>
              <w:rPr>
                <w:rFonts w:hint="default" w:ascii="Times New Roman" w:hAnsi="Times New Roman" w:cs="Times New Roman" w:eastAsiaTheme="minorEastAsia"/>
                <w:spacing w:val="12"/>
                <w:sz w:val="18"/>
                <w:szCs w:val="18"/>
              </w:rPr>
              <w:t>落地实施。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7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spacing w:before="219" w:line="217" w:lineRule="auto"/>
              <w:ind w:left="399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绩效指标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3" w:line="232" w:lineRule="auto"/>
              <w:ind w:left="11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3"/>
                <w:sz w:val="18"/>
                <w:szCs w:val="18"/>
              </w:rPr>
              <w:t>一</w:t>
            </w: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级</w:t>
            </w:r>
          </w:p>
          <w:p>
            <w:pPr>
              <w:spacing w:line="220" w:lineRule="auto"/>
              <w:ind w:left="11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指标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220" w:lineRule="auto"/>
              <w:ind w:left="12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二级指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219" w:lineRule="auto"/>
              <w:ind w:left="22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指标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内容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219" w:lineRule="auto"/>
              <w:ind w:left="633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12"/>
                <w:sz w:val="18"/>
                <w:szCs w:val="18"/>
              </w:rPr>
              <w:t>指标</w:t>
            </w:r>
            <w:r>
              <w:rPr>
                <w:rFonts w:hint="default" w:ascii="Times New Roman" w:hAnsi="Times New Roman" w:cs="Times New Roman" w:eastAsiaTheme="minorEastAsia"/>
                <w:spacing w:val="11"/>
                <w:sz w:val="18"/>
                <w:szCs w:val="18"/>
              </w:rPr>
              <w:t>值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二级指标</w:t>
            </w: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219" w:lineRule="auto"/>
              <w:ind w:left="1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指标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内容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219" w:lineRule="auto"/>
              <w:ind w:left="479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spacing w:before="199" w:line="216" w:lineRule="auto"/>
              <w:ind w:left="217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产出指标</w:t>
            </w:r>
          </w:p>
        </w:tc>
        <w:tc>
          <w:tcPr>
            <w:tcW w:w="85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479" w:lineRule="auto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  <w:p>
            <w:pPr>
              <w:spacing w:before="49" w:line="219" w:lineRule="auto"/>
              <w:ind w:left="12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数量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22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项目数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219" w:lineRule="auto"/>
              <w:ind w:left="744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pacing w:val="-4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个</w:t>
            </w:r>
          </w:p>
        </w:tc>
        <w:tc>
          <w:tcPr>
            <w:tcW w:w="82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数量指标</w:t>
            </w: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219" w:lineRule="auto"/>
              <w:ind w:left="17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12"/>
                <w:sz w:val="18"/>
                <w:szCs w:val="18"/>
              </w:rPr>
              <w:t>项目数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219" w:lineRule="auto"/>
              <w:ind w:left="588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0" w:lineRule="auto"/>
              <w:ind w:left="22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8"/>
                <w:sz w:val="18"/>
                <w:szCs w:val="18"/>
              </w:rPr>
              <w:t>节能量(折标煤</w:t>
            </w:r>
            <w:r>
              <w:rPr>
                <w:rFonts w:hint="default" w:ascii="Times New Roman" w:hAnsi="Times New Roman" w:cs="Times New Roman" w:eastAsiaTheme="minorEastAsia"/>
                <w:spacing w:val="6"/>
                <w:sz w:val="18"/>
                <w:szCs w:val="18"/>
              </w:rPr>
              <w:t>)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37" w:lineRule="auto"/>
              <w:ind w:left="443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0" w:lineRule="auto"/>
              <w:ind w:left="17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9"/>
                <w:sz w:val="18"/>
                <w:szCs w:val="18"/>
              </w:rPr>
              <w:t>节能量(折标煤)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37" w:lineRule="auto"/>
              <w:ind w:left="208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219" w:lineRule="auto"/>
              <w:ind w:left="22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8"/>
                <w:sz w:val="18"/>
                <w:szCs w:val="18"/>
              </w:rPr>
              <w:t>固</w:t>
            </w:r>
            <w:r>
              <w:rPr>
                <w:rFonts w:hint="default" w:ascii="Times New Roman" w:hAnsi="Times New Roman" w:cs="Times New Roman" w:eastAsiaTheme="minorEastAsia"/>
                <w:spacing w:val="-7"/>
                <w:sz w:val="18"/>
                <w:szCs w:val="18"/>
              </w:rPr>
              <w:t>体</w:t>
            </w:r>
            <w:r>
              <w:rPr>
                <w:rFonts w:hint="default" w:ascii="Times New Roman" w:hAnsi="Times New Roman" w:cs="Times New Roman" w:eastAsiaTheme="minorEastAsia"/>
                <w:spacing w:val="-4"/>
                <w:sz w:val="18"/>
                <w:szCs w:val="18"/>
              </w:rPr>
              <w:t>废弃物资源综合利用量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237" w:lineRule="auto"/>
              <w:ind w:left="524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0.72万吨</w:t>
            </w:r>
          </w:p>
        </w:tc>
        <w:tc>
          <w:tcPr>
            <w:tcW w:w="82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262" w:lineRule="auto"/>
              <w:ind w:left="17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10"/>
                <w:sz w:val="18"/>
                <w:szCs w:val="18"/>
              </w:rPr>
              <w:t>固体废弃物资源综合利用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2"/>
                <w:sz w:val="18"/>
                <w:szCs w:val="18"/>
              </w:rPr>
              <w:t>量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237" w:lineRule="auto"/>
              <w:ind w:left="329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0.72万吨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479" w:lineRule="auto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  <w:p>
            <w:pPr>
              <w:spacing w:before="49" w:line="220" w:lineRule="auto"/>
              <w:ind w:left="12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质</w:t>
            </w: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量指标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19" w:lineRule="auto"/>
              <w:ind w:left="22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16"/>
                <w:sz w:val="18"/>
                <w:szCs w:val="18"/>
              </w:rPr>
              <w:t>项</w:t>
            </w:r>
            <w:r>
              <w:rPr>
                <w:rFonts w:hint="default" w:ascii="Times New Roman" w:hAnsi="Times New Roman" w:cs="Times New Roman" w:eastAsiaTheme="minorEastAsia"/>
                <w:spacing w:val="9"/>
                <w:sz w:val="18"/>
                <w:szCs w:val="18"/>
              </w:rPr>
              <w:t>目质量达标率(%)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9" w:line="185" w:lineRule="auto"/>
              <w:ind w:left="744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pacing w:val="-3"/>
                <w:sz w:val="18"/>
                <w:szCs w:val="18"/>
              </w:rPr>
              <w:t>00</w:t>
            </w:r>
          </w:p>
        </w:tc>
        <w:tc>
          <w:tcPr>
            <w:tcW w:w="82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质量指标</w:t>
            </w: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19" w:lineRule="auto"/>
              <w:ind w:left="17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18"/>
                <w:sz w:val="18"/>
                <w:szCs w:val="18"/>
              </w:rPr>
              <w:t>项</w:t>
            </w:r>
            <w:r>
              <w:rPr>
                <w:rFonts w:hint="default" w:ascii="Times New Roman" w:hAnsi="Times New Roman" w:cs="Times New Roman" w:eastAsiaTheme="minorEastAsia"/>
                <w:spacing w:val="11"/>
                <w:sz w:val="18"/>
                <w:szCs w:val="18"/>
              </w:rPr>
              <w:t>目质量达标率(%)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9" w:line="185" w:lineRule="auto"/>
              <w:ind w:left="588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pacing w:val="-3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219" w:lineRule="auto"/>
              <w:ind w:left="22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6"/>
                <w:sz w:val="18"/>
                <w:szCs w:val="18"/>
              </w:rPr>
              <w:t>总投</w:t>
            </w:r>
            <w:r>
              <w:rPr>
                <w:rFonts w:hint="default" w:ascii="Times New Roman" w:hAnsi="Times New Roman" w:cs="Times New Roman" w:eastAsiaTheme="minorEastAsia"/>
                <w:spacing w:val="4"/>
                <w:sz w:val="18"/>
                <w:szCs w:val="18"/>
              </w:rPr>
              <w:t>资</w:t>
            </w:r>
            <w:r>
              <w:rPr>
                <w:rFonts w:hint="default" w:ascii="Times New Roman" w:hAnsi="Times New Roman" w:cs="Times New Roman" w:eastAsiaTheme="minorEastAsia"/>
                <w:spacing w:val="3"/>
                <w:sz w:val="18"/>
                <w:szCs w:val="18"/>
              </w:rPr>
              <w:t>完成率(≥%)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185" w:lineRule="auto"/>
              <w:ind w:left="753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85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219" w:lineRule="auto"/>
              <w:ind w:left="17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10"/>
                <w:sz w:val="18"/>
                <w:szCs w:val="18"/>
              </w:rPr>
              <w:t>总</w:t>
            </w:r>
            <w:r>
              <w:rPr>
                <w:rFonts w:hint="default" w:ascii="Times New Roman" w:hAnsi="Times New Roman" w:cs="Times New Roman" w:eastAsiaTheme="minorEastAsia"/>
                <w:spacing w:val="7"/>
                <w:sz w:val="18"/>
                <w:szCs w:val="18"/>
              </w:rPr>
              <w:t>投</w:t>
            </w:r>
            <w:r>
              <w:rPr>
                <w:rFonts w:hint="default" w:ascii="Times New Roman" w:hAnsi="Times New Roman" w:cs="Times New Roman" w:eastAsiaTheme="minorEastAsia"/>
                <w:spacing w:val="5"/>
                <w:sz w:val="18"/>
                <w:szCs w:val="18"/>
              </w:rPr>
              <w:t>资完成率(≥%)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185" w:lineRule="auto"/>
              <w:ind w:left="628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66" w:lineRule="auto"/>
              <w:ind w:left="22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10"/>
                <w:sz w:val="18"/>
                <w:szCs w:val="18"/>
              </w:rPr>
              <w:t>审</w:t>
            </w:r>
            <w:r>
              <w:rPr>
                <w:rFonts w:hint="default" w:ascii="Times New Roman" w:hAnsi="Times New Roman" w:cs="Times New Roman" w:eastAsiaTheme="minorEastAsia"/>
                <w:spacing w:val="5"/>
                <w:sz w:val="18"/>
                <w:szCs w:val="18"/>
              </w:rPr>
              <w:t>计、督查、巡视等指出问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15"/>
                <w:sz w:val="18"/>
                <w:szCs w:val="18"/>
              </w:rPr>
              <w:t>题项目比例(≤%)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9" w:line="185" w:lineRule="auto"/>
              <w:ind w:left="774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5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pacing w:val="-4"/>
                <w:sz w:val="18"/>
                <w:szCs w:val="18"/>
              </w:rPr>
              <w:t>0</w:t>
            </w:r>
          </w:p>
        </w:tc>
        <w:tc>
          <w:tcPr>
            <w:tcW w:w="82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0" w:line="267" w:lineRule="auto"/>
              <w:ind w:left="17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10"/>
                <w:sz w:val="18"/>
                <w:szCs w:val="18"/>
              </w:rPr>
              <w:t>审计、督查、巡视等指出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11"/>
                <w:sz w:val="18"/>
                <w:szCs w:val="18"/>
              </w:rPr>
              <w:t>问题项目比例(≤%</w:t>
            </w:r>
            <w:r>
              <w:rPr>
                <w:rFonts w:hint="default" w:ascii="Times New Roman" w:hAnsi="Times New Roman" w:cs="Times New Roman" w:eastAsiaTheme="minorEastAsia"/>
                <w:spacing w:val="1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9" w:line="185" w:lineRule="auto"/>
              <w:ind w:left="628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5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pacing w:val="-4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46" w:lineRule="auto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  <w:p>
            <w:pPr>
              <w:spacing w:line="246" w:lineRule="auto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  <w:p>
            <w:pPr>
              <w:spacing w:line="247" w:lineRule="auto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  <w:p>
            <w:pPr>
              <w:spacing w:line="247" w:lineRule="auto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  <w:p>
            <w:pPr>
              <w:spacing w:before="49" w:line="220" w:lineRule="auto"/>
              <w:ind w:left="12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4"/>
                <w:sz w:val="18"/>
                <w:szCs w:val="18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效指标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22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项目按计划开工率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237" w:lineRule="auto"/>
              <w:ind w:left="674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5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spacing w:val="-4"/>
                <w:sz w:val="18"/>
                <w:szCs w:val="18"/>
              </w:rPr>
              <w:t>90%</w:t>
            </w:r>
          </w:p>
        </w:tc>
        <w:tc>
          <w:tcPr>
            <w:tcW w:w="82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时效指标</w:t>
            </w: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219" w:lineRule="auto"/>
              <w:ind w:left="17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项目按计划开工率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237" w:lineRule="auto"/>
              <w:ind w:left="509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5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spacing w:val="-4"/>
                <w:sz w:val="18"/>
                <w:szCs w:val="18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0" w:line="285" w:lineRule="auto"/>
              <w:ind w:left="22" w:right="28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投资计划转发用时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 xml:space="preserve">(≤个工 </w:t>
            </w:r>
            <w:r>
              <w:rPr>
                <w:rFonts w:hint="default" w:ascii="Times New Roman" w:hAnsi="Times New Roman" w:cs="Times New Roman" w:eastAsiaTheme="minorEastAsia"/>
                <w:spacing w:val="9"/>
                <w:sz w:val="18"/>
                <w:szCs w:val="18"/>
              </w:rPr>
              <w:t>作日)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5" w:lineRule="auto"/>
              <w:ind w:left="763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20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1" w:line="304" w:lineRule="auto"/>
              <w:ind w:left="17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6"/>
                <w:sz w:val="18"/>
                <w:szCs w:val="18"/>
              </w:rPr>
              <w:t>投</w:t>
            </w:r>
            <w:r>
              <w:rPr>
                <w:rFonts w:hint="default" w:ascii="Times New Roman" w:hAnsi="Times New Roman" w:cs="Times New Roman" w:eastAsiaTheme="minorEastAsia"/>
                <w:spacing w:val="4"/>
                <w:sz w:val="18"/>
                <w:szCs w:val="18"/>
              </w:rPr>
              <w:t>资</w:t>
            </w:r>
            <w:r>
              <w:rPr>
                <w:rFonts w:hint="default" w:ascii="Times New Roman" w:hAnsi="Times New Roman" w:cs="Times New Roman" w:eastAsiaTheme="minorEastAsia"/>
                <w:spacing w:val="3"/>
                <w:sz w:val="18"/>
                <w:szCs w:val="18"/>
              </w:rPr>
              <w:t>计划转发用时(≤个工</w:t>
            </w:r>
            <w:r>
              <w:rPr>
                <w:rFonts w:hint="default" w:ascii="Times New Roman" w:hAnsi="Times New Roman" w:cs="Times New Roman" w:eastAsiaTheme="minorEastAsia"/>
                <w:spacing w:val="17"/>
                <w:sz w:val="18"/>
                <w:szCs w:val="18"/>
              </w:rPr>
              <w:t>作日)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5" w:lineRule="auto"/>
              <w:ind w:left="628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2" w:line="219" w:lineRule="auto"/>
              <w:ind w:left="22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-1"/>
                <w:sz w:val="18"/>
                <w:szCs w:val="18"/>
              </w:rPr>
              <w:t>预算下达进度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按进度下达，不迟于当年6 月底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预算下达进度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按进度下达，不迟于当年6月底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2" w:lineRule="auto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  <w:p>
            <w:pPr>
              <w:spacing w:before="48" w:line="219" w:lineRule="auto"/>
              <w:ind w:left="22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18"/>
                <w:szCs w:val="18"/>
              </w:rPr>
              <w:t>资金</w:t>
            </w:r>
            <w:r>
              <w:rPr>
                <w:rFonts w:hint="default" w:ascii="Times New Roman" w:hAnsi="Times New Roman" w:cs="Times New Roman" w:eastAsiaTheme="minorEastAsia"/>
                <w:spacing w:val="1"/>
                <w:sz w:val="18"/>
                <w:szCs w:val="18"/>
              </w:rPr>
              <w:t>支付进度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</w:rPr>
              <w:t>当年9月底前不低于预算的80%</w:t>
            </w:r>
            <w:r>
              <w:rPr>
                <w:rFonts w:hint="default"/>
                <w:sz w:val="18"/>
                <w:szCs w:val="18"/>
                <w:lang w:eastAsia="zh-CN"/>
              </w:rPr>
              <w:t>；</w:t>
            </w:r>
            <w:r>
              <w:rPr>
                <w:rFonts w:hint="default"/>
                <w:sz w:val="18"/>
                <w:szCs w:val="18"/>
              </w:rPr>
              <w:t>当年12月底前不低于预算的98%</w:t>
            </w:r>
            <w:r>
              <w:rPr>
                <w:rFonts w:hint="default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2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资金支付进度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当年9月底前不低于预算的80%;当年12月底前不低于预算的98%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成本指标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无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无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成本指标</w:t>
            </w: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220" w:lineRule="auto"/>
              <w:ind w:left="1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无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220" w:lineRule="auto"/>
              <w:ind w:left="628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效益指标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经济效益 指标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无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无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经济效益 指标</w:t>
            </w: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社会效益 指标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引导社会资本参与节能领域 项目建设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有效引导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社会效益 指标</w:t>
            </w: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引导社会资本参与节能领 域项目建设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有效引导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生态效益 指标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引导全社会节能，减少能源 资源消耗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有效促进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生态效益 指标</w:t>
            </w: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引导全社会节能，减少能 源资源消耗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有效促进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可持续影响 指标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项目持续发挥作用年限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≥2年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可持续影响 指标</w:t>
            </w: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项目持续发挥作用年限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7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满意度 指标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服务对象 满意度指标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支持项目地方政府管理部门 满意率(%)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90%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服务对象 满意度指标</w:t>
            </w:r>
          </w:p>
        </w:tc>
        <w:tc>
          <w:tcPr>
            <w:tcW w:w="16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支持项目地方政府管理部 门满意率(%)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≥90%</w:t>
            </w:r>
          </w:p>
        </w:tc>
      </w:tr>
    </w:tbl>
    <w:p>
      <w:pPr>
        <w:spacing w:before="101" w:line="219" w:lineRule="auto"/>
        <w:ind w:left="65"/>
        <w:rPr>
          <w:rFonts w:ascii="宋体" w:hAnsi="宋体" w:eastAsia="宋体" w:cs="宋体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spacing w:val="4"/>
          <w:sz w:val="18"/>
          <w:szCs w:val="18"/>
        </w:rPr>
        <w:t>备注：绩效指</w:t>
      </w:r>
      <w:r>
        <w:rPr>
          <w:rFonts w:hint="eastAsia" w:asciiTheme="minorEastAsia" w:hAnsiTheme="minorEastAsia" w:eastAsiaTheme="minorEastAsia" w:cstheme="minorEastAsia"/>
          <w:spacing w:val="3"/>
          <w:sz w:val="18"/>
          <w:szCs w:val="18"/>
        </w:rPr>
        <w:t>标</w:t>
      </w:r>
      <w:r>
        <w:rPr>
          <w:rFonts w:hint="eastAsia" w:asciiTheme="minorEastAsia" w:hAnsiTheme="minorEastAsia" w:eastAsiaTheme="minorEastAsia" w:cstheme="minorEastAsia"/>
          <w:spacing w:val="2"/>
          <w:sz w:val="18"/>
          <w:szCs w:val="18"/>
        </w:rPr>
        <w:t>*部分根据实际情况填写，其他指标不可变化。</w:t>
      </w:r>
    </w:p>
    <w:sectPr>
      <w:footerReference r:id="rId5" w:type="default"/>
      <w:pgSz w:w="11860" w:h="16780"/>
      <w:pgMar w:top="1208" w:right="1530" w:bottom="400" w:left="10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4YzFlYzBkZmY1NjgxZTUxNzhmNmZmMjczNzM5YTEifQ=="/>
  </w:docVars>
  <w:rsids>
    <w:rsidRoot w:val="00000000"/>
    <w:rsid w:val="000C3DA7"/>
    <w:rsid w:val="03764359"/>
    <w:rsid w:val="03905A0B"/>
    <w:rsid w:val="03EE3EEF"/>
    <w:rsid w:val="05143E2A"/>
    <w:rsid w:val="05171224"/>
    <w:rsid w:val="06A50AB1"/>
    <w:rsid w:val="0817778D"/>
    <w:rsid w:val="0A4B7E76"/>
    <w:rsid w:val="0A913826"/>
    <w:rsid w:val="0AA03A6A"/>
    <w:rsid w:val="0D7C07BE"/>
    <w:rsid w:val="10CA4CE2"/>
    <w:rsid w:val="11755C50"/>
    <w:rsid w:val="132536A6"/>
    <w:rsid w:val="148368D6"/>
    <w:rsid w:val="1B1A33C4"/>
    <w:rsid w:val="1BA17641"/>
    <w:rsid w:val="1BD25A4D"/>
    <w:rsid w:val="225278E7"/>
    <w:rsid w:val="22FE6025"/>
    <w:rsid w:val="2426102C"/>
    <w:rsid w:val="24967F5F"/>
    <w:rsid w:val="2500187D"/>
    <w:rsid w:val="25145328"/>
    <w:rsid w:val="25761B3F"/>
    <w:rsid w:val="257A518B"/>
    <w:rsid w:val="27EC31AA"/>
    <w:rsid w:val="29E654E5"/>
    <w:rsid w:val="2AA82253"/>
    <w:rsid w:val="2C153E60"/>
    <w:rsid w:val="2C7F577D"/>
    <w:rsid w:val="2D102879"/>
    <w:rsid w:val="2E516CA5"/>
    <w:rsid w:val="31A67308"/>
    <w:rsid w:val="35B5220F"/>
    <w:rsid w:val="36034D29"/>
    <w:rsid w:val="370B658B"/>
    <w:rsid w:val="38B772A3"/>
    <w:rsid w:val="3A1A0893"/>
    <w:rsid w:val="3A7E37DC"/>
    <w:rsid w:val="3BBD1E1E"/>
    <w:rsid w:val="3BFC2946"/>
    <w:rsid w:val="3D127F47"/>
    <w:rsid w:val="3E375EB7"/>
    <w:rsid w:val="3E9450B8"/>
    <w:rsid w:val="3EAA1FA0"/>
    <w:rsid w:val="3ECA0ADA"/>
    <w:rsid w:val="41061B71"/>
    <w:rsid w:val="4110479E"/>
    <w:rsid w:val="42276243"/>
    <w:rsid w:val="42C615B8"/>
    <w:rsid w:val="43A23DD3"/>
    <w:rsid w:val="44250560"/>
    <w:rsid w:val="44E977E0"/>
    <w:rsid w:val="453F3821"/>
    <w:rsid w:val="45943BEF"/>
    <w:rsid w:val="45C51FFB"/>
    <w:rsid w:val="484A67E7"/>
    <w:rsid w:val="486F6193"/>
    <w:rsid w:val="492B03C7"/>
    <w:rsid w:val="499F2B63"/>
    <w:rsid w:val="4B3D2633"/>
    <w:rsid w:val="4D752558"/>
    <w:rsid w:val="4E1A4EAE"/>
    <w:rsid w:val="4F2A7373"/>
    <w:rsid w:val="4F9A62A6"/>
    <w:rsid w:val="501E0C85"/>
    <w:rsid w:val="50850D04"/>
    <w:rsid w:val="510C31D4"/>
    <w:rsid w:val="52BE04FE"/>
    <w:rsid w:val="54AD6A7C"/>
    <w:rsid w:val="572A6162"/>
    <w:rsid w:val="58005114"/>
    <w:rsid w:val="58326ECD"/>
    <w:rsid w:val="586E02D0"/>
    <w:rsid w:val="5C1D6295"/>
    <w:rsid w:val="5D192281"/>
    <w:rsid w:val="5DC21AC7"/>
    <w:rsid w:val="5E824AD5"/>
    <w:rsid w:val="5F5024DD"/>
    <w:rsid w:val="60F5158E"/>
    <w:rsid w:val="6247406C"/>
    <w:rsid w:val="64A37553"/>
    <w:rsid w:val="65864EAB"/>
    <w:rsid w:val="65B41564"/>
    <w:rsid w:val="673D5A3D"/>
    <w:rsid w:val="6A4315BC"/>
    <w:rsid w:val="6DB938CF"/>
    <w:rsid w:val="6DC02F24"/>
    <w:rsid w:val="6FF9096F"/>
    <w:rsid w:val="72E90827"/>
    <w:rsid w:val="735C549D"/>
    <w:rsid w:val="74AC4202"/>
    <w:rsid w:val="753541F8"/>
    <w:rsid w:val="76EC092E"/>
    <w:rsid w:val="79B819BF"/>
    <w:rsid w:val="7C792C1C"/>
    <w:rsid w:val="7C8B294F"/>
    <w:rsid w:val="7D807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892</Words>
  <Characters>977</Characters>
  <TotalTime>34</TotalTime>
  <ScaleCrop>false</ScaleCrop>
  <LinksUpToDate>false</LinksUpToDate>
  <CharactersWithSpaces>1000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2022-07-28T11:54:00Z</dcterms:created>
  <dc:creator>Kingsoft-PDF</dc:creator>
  <cp:keywords>62e2084c1d1b0400159aac91</cp:keywords>
  <cp:lastModifiedBy>像风一样的人</cp:lastModifiedBy>
  <cp:lastPrinted>2022-07-29T01:45:00Z</cp:lastPrinted>
  <dcterms:modified xsi:type="dcterms:W3CDTF">2022-08-09T07:50:04Z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2022-07-28T11:54:05Z</vt:filetime>
  </property>
  <property fmtid="{D5CDD505-2E9C-101B-9397-08002B2CF9AE}" pid="4" name="KSOProductBuildVer">
    <vt:lpwstr>2052-11.1.0.12302</vt:lpwstr>
  </property>
  <property fmtid="{D5CDD505-2E9C-101B-9397-08002B2CF9AE}" pid="5" name="ICV">
    <vt:lpwstr>65DCBB1A67794494ACB42D7567DB4480</vt:lpwstr>
  </property>
</Properties>
</file>