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pPr>
      <w:bookmarkStart w:id="0" w:name="_GoBack"/>
      <w:bookmarkEnd w:id="0"/>
      <w: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t>汉阴县行政审批服务局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auto"/>
          <w:spacing w:val="0"/>
          <w:sz w:val="44"/>
          <w:szCs w:val="44"/>
          <w:bdr w:val="none" w:color="auto" w:sz="0" w:space="0"/>
          <w:shd w:val="clear" w:fill="FFFFFF"/>
        </w:rPr>
        <w:t>2022年度政府信息公开工作的年度报告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  一、总体情况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2022年，汉阴县行政审批服务局继续贯彻落实《中华人民共和国政府信息公开条例》，以及国家和省市县各级关于全面推进政府信息公开工作的部署和要求，扎实推进政府信息公开的各项工作，为提升政务服务水平，助力营商环境向好向优作出了积极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  （一）主动公开政务信息。</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县行政审批服务局实时调整、公开政务大厅功能布局、部门进驻窗口服务内容等信息，对政务服务事项公开要素规范梳理，并通过政府门户网站、政务服务网、电子屏等方式，多渠道向社会公众公开、公示。2022年，共开展规范梳理办理指南工作两次，完成1574项政务服务事项的梳理发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textAlignment w:val="baseline"/>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vertAlign w:val="baseline"/>
        </w:rPr>
        <w:t>  （二）依申请公开方面。</w:t>
      </w:r>
      <w:r>
        <w:rPr>
          <w:rFonts w:hint="eastAsia" w:ascii="仿宋_GB2312" w:hAnsi="仿宋_GB2312" w:eastAsia="仿宋_GB2312" w:cs="仿宋_GB2312"/>
          <w:i w:val="0"/>
          <w:iCs w:val="0"/>
          <w:caps w:val="0"/>
          <w:color w:val="333333"/>
          <w:spacing w:val="0"/>
          <w:sz w:val="32"/>
          <w:szCs w:val="32"/>
          <w:bdr w:val="none" w:color="auto" w:sz="0" w:space="0"/>
          <w:shd w:val="clear" w:fill="FFFFFF"/>
          <w:vertAlign w:val="baseline"/>
        </w:rPr>
        <w:t>2022年，收到公民、法人和其他组织在线依申请公开数0件。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  （三）政府信息管理方面。</w:t>
      </w:r>
      <w:r>
        <w:rPr>
          <w:rFonts w:hint="eastAsia" w:ascii="仿宋_GB2312" w:hAnsi="仿宋_GB2312" w:eastAsia="仿宋_GB2312" w:cs="仿宋_GB2312"/>
          <w:i w:val="0"/>
          <w:iCs w:val="0"/>
          <w:caps w:val="0"/>
          <w:color w:val="333333"/>
          <w:spacing w:val="0"/>
          <w:sz w:val="32"/>
          <w:szCs w:val="32"/>
          <w:bdr w:val="none" w:color="auto" w:sz="0" w:space="0"/>
          <w:shd w:val="clear" w:fill="FFFFFF"/>
        </w:rPr>
        <w:t>对现有规范性文件进行了全面梳理，规范管理，对公布的所有文件逐个进行检查，确保每个规范性文件完整包括标题、文号、发文日期、全文等。同时，对单位宣传稿件等公开内容，实行逐级审批，责任到人，确保公开信息准确无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  （四）政府信息公开平台建设方面。</w:t>
      </w:r>
      <w:r>
        <w:rPr>
          <w:rFonts w:hint="eastAsia" w:ascii="仿宋_GB2312" w:hAnsi="仿宋_GB2312" w:eastAsia="仿宋_GB2312" w:cs="仿宋_GB2312"/>
          <w:i w:val="0"/>
          <w:iCs w:val="0"/>
          <w:caps w:val="0"/>
          <w:color w:val="333333"/>
          <w:spacing w:val="0"/>
          <w:sz w:val="32"/>
          <w:szCs w:val="32"/>
          <w:bdr w:val="none" w:color="auto" w:sz="0" w:space="0"/>
          <w:shd w:val="clear" w:fill="FFFFFF"/>
        </w:rPr>
        <w:t>积极配合县政府做好政务信息公开网站的问题整改，按要求完成各项任务。同时，依托县行政审批服务局微信公众号，开通了微导办小程序，对政务中心楼层分布，高频办事指南进行图形化实景引导，切实方便企业群众办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  （五）监督保障方面。</w:t>
      </w:r>
      <w:r>
        <w:rPr>
          <w:rFonts w:hint="eastAsia" w:ascii="仿宋_GB2312" w:hAnsi="仿宋_GB2312" w:eastAsia="仿宋_GB2312" w:cs="仿宋_GB2312"/>
          <w:i w:val="0"/>
          <w:iCs w:val="0"/>
          <w:caps w:val="0"/>
          <w:color w:val="333333"/>
          <w:spacing w:val="0"/>
          <w:sz w:val="32"/>
          <w:szCs w:val="32"/>
          <w:bdr w:val="none" w:color="auto" w:sz="0" w:space="0"/>
          <w:shd w:val="clear" w:fill="FFFFFF"/>
        </w:rPr>
        <w:t>县行政审批服务局以公开管理模式、公开监督方式为手段，不断促进审批队伍人员素质的提升。一方面，上线政务服务好差评系统，做到群众办事随办随评，群众满意度实时收集，加大群众监督投诉反馈力度。另一方面，承办好12345热线工单，针对百姓关注的公开信息，积极转派，协调相关职能部门主动公开，主动回复群众咨询的各类问题。2022年，12345热线工单办理8414件，按期办结率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  二、主动公开政府信息情况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15"/>
        <w:gridCol w:w="2007"/>
        <w:gridCol w:w="2147"/>
        <w:gridCol w:w="17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信息内容</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本年制发件数</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本年废止件数</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规章</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行政规范性文件</w:t>
            </w:r>
          </w:p>
        </w:tc>
        <w:tc>
          <w:tcPr>
            <w:tcW w:w="211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2265"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183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行政许可</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12958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行政处罚</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行政强制</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77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信息内容</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55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行政事业性收费</w:t>
            </w:r>
          </w:p>
        </w:tc>
        <w:tc>
          <w:tcPr>
            <w:tcW w:w="622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  三、收到和处理政府信息公开申请情况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0"/>
        <w:gridCol w:w="1475"/>
        <w:gridCol w:w="2450"/>
        <w:gridCol w:w="646"/>
        <w:gridCol w:w="515"/>
        <w:gridCol w:w="515"/>
        <w:gridCol w:w="515"/>
        <w:gridCol w:w="515"/>
        <w:gridCol w:w="568"/>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（本列数据的勾稽关系为：第一项加第二项之和，等于第三项加第四项之和）</w:t>
            </w:r>
          </w:p>
        </w:tc>
        <w:tc>
          <w:tcPr>
            <w:tcW w:w="4245" w:type="dxa"/>
            <w:gridSpan w:val="7"/>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1"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自然人</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法人或其他组织</w:t>
            </w:r>
          </w:p>
        </w:tc>
        <w:tc>
          <w:tcPr>
            <w:tcW w:w="70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企业</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社会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公益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组织</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机构</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7"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其他</w:t>
            </w:r>
          </w:p>
        </w:tc>
        <w:tc>
          <w:tcPr>
            <w:tcW w:w="70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一、本年新收政府信息公开申请数量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二、上年结转政府信息公开申请数量</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果</w:t>
            </w: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（一）予以公开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（二）部分公开（区分处理的，只计这一情形，不计其他情形）</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（三）不予公开</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1.属于国家秘密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2.其他法律行政法规禁止公开</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3.危及“三安全一稳定”</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4.保护第三方合法权益</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5.属于三类内部事务信息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6.属于四类过程性信息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7.属于行政执法案卷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8.属于行政查询事项</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（四）无法提供</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1.本机关不掌握相关政府信息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2.没有现成信息需要另行制作</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3.补正后申请内容仍不明确</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78"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（五）不予处理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1.信访举报投诉类申请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3.要求提供公开出版物</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4.无正当理由大量反复申请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00" w:right="0" w:hanging="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5.要求行政机关确认或重新出具已获取信息</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（六）其他处理</w:t>
            </w: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1.申请人无正当理由逾期不补正、行政机关不再处理其政府信息公开申请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2.申请人逾期未按收费通知要求缴纳费用、行政机关不再处理其政府信息公开申请</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154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268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3.其他</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2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4245" w:type="dxa"/>
            <w:gridSpan w:val="2"/>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（七）总计</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665" w:type="dxa"/>
            <w:gridSpan w:val="3"/>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四、结转下年度继续办理</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70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  四、政府信息公开行政复议、行政诉讼情况</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4"/>
        <w:gridCol w:w="544"/>
        <w:gridCol w:w="543"/>
        <w:gridCol w:w="543"/>
        <w:gridCol w:w="587"/>
        <w:gridCol w:w="559"/>
        <w:gridCol w:w="530"/>
        <w:gridCol w:w="544"/>
        <w:gridCol w:w="544"/>
        <w:gridCol w:w="602"/>
        <w:gridCol w:w="544"/>
        <w:gridCol w:w="545"/>
        <w:gridCol w:w="545"/>
        <w:gridCol w:w="545"/>
        <w:gridCol w:w="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820"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行政复议</w:t>
            </w:r>
          </w:p>
        </w:tc>
        <w:tc>
          <w:tcPr>
            <w:tcW w:w="5670" w:type="dxa"/>
            <w:gridSpan w:val="10"/>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9"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99"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维持</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01"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纠正</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2"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8"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审结</w:t>
            </w:r>
          </w:p>
        </w:tc>
        <w:tc>
          <w:tcPr>
            <w:tcW w:w="555" w:type="dxa"/>
            <w:vMerge w:val="restart"/>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1"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11"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计</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未经复议直接起诉</w:t>
            </w:r>
          </w:p>
        </w:tc>
        <w:tc>
          <w:tcPr>
            <w:tcW w:w="2835" w:type="dxa"/>
            <w:gridSpan w:val="5"/>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仿宋_GB2312" w:hAnsi="仿宋_GB2312" w:eastAsia="仿宋_GB2312" w:cs="仿宋_GB2312"/>
                <w:sz w:val="32"/>
                <w:szCs w:val="32"/>
              </w:rPr>
            </w:pP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维持</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计</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维持</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纠正</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结果</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审结</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86"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7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40"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c>
          <w:tcPr>
            <w:tcW w:w="555"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  存在问题：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  1、政务服务数据壁垒仍然存在。</w:t>
      </w:r>
      <w:r>
        <w:rPr>
          <w:rFonts w:hint="eastAsia" w:ascii="仿宋_GB2312" w:hAnsi="仿宋_GB2312" w:eastAsia="仿宋_GB2312" w:cs="仿宋_GB2312"/>
          <w:i w:val="0"/>
          <w:iCs w:val="0"/>
          <w:caps w:val="0"/>
          <w:color w:val="333333"/>
          <w:spacing w:val="0"/>
          <w:sz w:val="32"/>
          <w:szCs w:val="32"/>
          <w:bdr w:val="none" w:color="auto" w:sz="0" w:space="0"/>
          <w:shd w:val="clear" w:fill="FFFFFF"/>
        </w:rPr>
        <w:t>目前我县使用的政务服务平台由市级统一筹建，与各行业部门业务数据只实现了部分互联互通，与信用安康平台尚未进行办理结果推送对接，目前不能最大限度的实现数据交换和资源信息共享，工作人员需要“多次录入”，增加了工作人员办理结果公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  2.工作人员重视程度有待提高。</w:t>
      </w:r>
      <w:r>
        <w:rPr>
          <w:rFonts w:hint="eastAsia" w:ascii="仿宋_GB2312" w:hAnsi="仿宋_GB2312" w:eastAsia="仿宋_GB2312" w:cs="仿宋_GB2312"/>
          <w:i w:val="0"/>
          <w:iCs w:val="0"/>
          <w:caps w:val="0"/>
          <w:color w:val="333333"/>
          <w:spacing w:val="0"/>
          <w:sz w:val="32"/>
          <w:szCs w:val="32"/>
          <w:bdr w:val="none" w:color="auto" w:sz="0" w:space="0"/>
          <w:shd w:val="clear" w:fill="FFFFFF"/>
        </w:rPr>
        <w:t>根据每季度县政府政务公开工作通报结果，汉阴县政务服务平台办事指南信息公示仍存在要素空白、逻辑错误等问题，部分单位办理指南梳理工作人员变动频繁，致使全省政务服务事项库以及政务服务网公示的政务服务事项信息更新完善工作相对滞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bdr w:val="none" w:color="auto" w:sz="0" w:space="0"/>
          <w:shd w:val="clear" w:fill="FFFFFF"/>
        </w:rPr>
        <w:t>  3.信息公开覆盖范围有待延伸。</w:t>
      </w:r>
      <w:r>
        <w:rPr>
          <w:rFonts w:hint="eastAsia" w:ascii="仿宋_GB2312" w:hAnsi="仿宋_GB2312" w:eastAsia="仿宋_GB2312" w:cs="仿宋_GB2312"/>
          <w:i w:val="0"/>
          <w:iCs w:val="0"/>
          <w:caps w:val="0"/>
          <w:color w:val="333333"/>
          <w:spacing w:val="0"/>
          <w:sz w:val="32"/>
          <w:szCs w:val="32"/>
          <w:bdr w:val="none" w:color="auto" w:sz="0" w:space="0"/>
          <w:shd w:val="clear" w:fill="FFFFFF"/>
        </w:rPr>
        <w:t>镇村服务事项有待进一步梳理，各镇各村应根据政务服务事项标准化办事指南要素信息完善公开信息，方便基层群众实现网上办、就近办。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  (一)加强汇报衔接，强化贯彻落实，推进政务数据壁垒逐步打通。</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定期与上级政务服务部门开展工作汇报衔接，严格落实市行政审批局在政务服务平台升级改造上的各项工作部署，配合做好行业部门系统数据对接，助力“一网通办”落地落实。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  (二)完善考评体系，落实奖惩机制，倒逼部门提高思想重视程度。</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一是完善政务信息公开工作考评体系，严格落实各项机制，做到信息公开工作考评有制度、制度有落实、落实有结果、结果有应用。三是按照各级政府信息公开工作要求，进一步明确公开责任主体，强化责任意识，对事项清单及办事指南要素信息进行动态化管理，确保信息发布及时准确。四是加强业务指导。对各单位政务服务事项梳理人员进行常态化业务指导，不断增强政务服务事项办事指南公开要素的梳理能力和业务水平，更好地为群众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bdr w:val="none" w:color="auto" w:sz="0" w:space="0"/>
          <w:shd w:val="clear" w:fill="FFFFFF"/>
          <w:lang w:val="en-US" w:eastAsia="zh-CN" w:bidi="ar"/>
        </w:rPr>
        <w:t>  (三)延伸公开触角，拓展广度深度，助力国家级政务服务标准化试点创建。</w:t>
      </w: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结合创建工作，力促镇村便民服务机构建设，规范制度、指南、职责等信息的大力公开，进一步规范基层便民服务工作。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Style w:val="6"/>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bdr w:val="none" w:color="auto" w:sz="0" w:space="0"/>
          <w:shd w:val="clear" w:fill="FFFFFF"/>
          <w:lang w:val="en-US" w:eastAsia="zh-CN" w:bidi="ar"/>
        </w:rPr>
        <w:t>  无其他需要报告的事项。</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ont-size:16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MTA2Zjg4YzBhZjExN2U3YzM5NmZmNDAyOTE5NTYifQ=="/>
  </w:docVars>
  <w:rsids>
    <w:rsidRoot w:val="29E947A6"/>
    <w:rsid w:val="29E94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2432</Words>
  <Characters>2516</Characters>
  <Lines>0</Lines>
  <Paragraphs>0</Paragraphs>
  <TotalTime>2</TotalTime>
  <ScaleCrop>false</ScaleCrop>
  <LinksUpToDate>false</LinksUpToDate>
  <CharactersWithSpaces>2516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2023-02-14T02:45:00Z</dcterms:created>
  <dc:creator>你微笑时很美</dc:creator>
  <cp:lastModifiedBy>你微笑时很美</cp:lastModifiedBy>
  <dcterms:modified xsi:type="dcterms:W3CDTF">2023-02-14T02:47:57Z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088B89B9FB0E4E5D810D1EE114369BE6</vt:lpwstr>
  </property>
</Properties>
</file>