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汉阴县20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overflowPunct w:val="0"/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44"/>
        </w:rPr>
      </w:pPr>
      <w:bookmarkStart w:id="0" w:name="_GoBack"/>
      <w:bookmarkEnd w:id="0"/>
    </w:p>
    <w:p>
      <w:pPr>
        <w:overflowPunct w:val="0"/>
        <w:snapToGrid w:val="0"/>
        <w:ind w:firstLine="420" w:firstLineChars="200"/>
        <w:rPr>
          <w:rFonts w:ascii="Times New Roman" w:hAnsi="Times New Roman" w:eastAsia="宋体" w:cs="Times New Roman"/>
          <w:szCs w:val="22"/>
        </w:rPr>
      </w:pPr>
    </w:p>
    <w:p>
      <w:pPr>
        <w:overflowPunct w:val="0"/>
        <w:spacing w:line="560" w:lineRule="exact"/>
        <w:ind w:firstLine="0" w:firstLineChars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　　</w:t>
      </w:r>
      <w:r>
        <w:rPr>
          <w:rFonts w:ascii="Times New Roman" w:hAnsi="Times New Roman" w:eastAsia="黑体" w:cs="Times New Roman"/>
          <w:sz w:val="32"/>
          <w:szCs w:val="22"/>
        </w:rPr>
        <w:t>一、总体情况</w:t>
      </w:r>
    </w:p>
    <w:p>
      <w:pPr>
        <w:overflowPunct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　　2022年，我县以习近平新时代中国特色社会主义思想为指导，深入学习宣传贯彻党的二十大精神，紧紧围绕党中央、国务院，市委、市政府，县委、县政府决策部署，不断发挥政府信息公开促落实、强监管功能，有力促推锦绣汉阴高质量发展。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eastAsia="zh-CN"/>
        </w:rPr>
        <w:t>　　（</w:t>
      </w: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eastAsia="zh-CN"/>
        </w:rPr>
        <w:t>）主动公开情况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　　一</w:t>
      </w: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是政府信息规范公开。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2"/>
          <w:lang w:val="en-US" w:eastAsia="zh-CN"/>
        </w:rPr>
        <w:t>以基层政务公开标准目录为指导，聚焦年度工作要点，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主动公开政务类信息1万余条，其中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2"/>
          <w:lang w:val="en-US" w:eastAsia="zh-CN"/>
        </w:rPr>
        <w:t>重点领域政府信息和政务“五公开”信息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5792条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“汉阴发布”政务微信公开信息2112条、政务微博2015条，保障了群众的知情权和监督权。</w:t>
      </w: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二是解读回应务实高效。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通过县政府门户网站发布文字、图片、音视频等形式多样化解读政策127条，其中转载解读材料64份、自行原创解读产品53个、媒体评论解读10篇，方便了公众理解和互联网传播。</w:t>
      </w: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是互动服务有力提升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实时公开县政府常务会议内容和视频资料38次。县政府门户网站栏目公开县人大代表建议办理结果178件，政协委员提案75件。发布在线访谈信息62期，开展征集调查活动18次，公开“12345县长信箱”诉求81条，回复率和满意率均达100%，有效维护了政府公信力。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　　（二）依申请公开办理情况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　　全县各级行政机关依法依规限时办结并公开来自信函、网络等渠道的政府信息公开申请19件，其中县政府办理15件。全年无因政府信息公开申请产生行政复议和行政诉讼问题。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　　（三）政府信息管理情况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按照基层政务公开标准化规范化工作指引，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适时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调整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政府信息主动公开目录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，对分类混乱、查找费时费力的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信息重新分门别类，逐步规范政府网站主动公开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150余个。依托政府信息公开专栏“规范性文件”栏目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逐步完善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行政规范性文件库，根据立、改、废等情况进行动态调整更新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，不断提升信息发布质量。同时，及时在县政府门户网站和各自政务新媒体等公开相关领域政府信息，保障政府信息公开平台信息来源和建设指标。严格信息内容发布审核，严把政治关、法律关、政策关、保密关、文字关，确保错敏信息不上网、涉密信息不泄露。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　　（四）政府信息公开平台建设情况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　　坚持县政府门户网站“政务公开第一平台”主导地位，以47个政务新媒体为延伸，政府信息公开实现全天候、无缝隙覆盖。拓展信息公开渠道，依托县政府官方微信“汉阴发布”订阅号平台，开发了账号子菜单外链系统，方便公众快速准确获取政府信息。同时，在11个政府信息公开查询点投放了信息查询终端设备，进一步促进了政务公开专区建设，充分借助数字政府建设深化政务公开。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　　（五）监督保障情况</w:t>
      </w:r>
    </w:p>
    <w:p>
      <w:pPr>
        <w:numPr>
          <w:ilvl w:val="0"/>
          <w:numId w:val="0"/>
        </w:numPr>
        <w:overflowPunct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修订《汉阴县政府信息公开指南》，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全面落实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政府信息公开工作考核、社会评议、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责任追究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、保密审查等制度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。集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开展重点工作谋划暨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业务培训2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，上门或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在线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指导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30余次，对工作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后进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开展问题督办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3件，集中发放政策宣传册40余本。持续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开展了为期半年的政府网站和政务新媒体服务能力提升行动，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逐步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夯实“日提醒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月通报”制度，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形成自查通报12次。继续将政务公开工作纳入年度目标责任考核体系，并将考核分数占比提高至5%，持续加大政务公开暨政府网站与政务新媒体管理、运维培训、安全防护等工作经费开支，统筹推进年度工作任务落实落细。</w:t>
      </w:r>
    </w:p>
    <w:p>
      <w:pPr>
        <w:overflowPunct w:val="0"/>
        <w:snapToGrid w:val="0"/>
        <w:ind w:firstLine="0" w:firstLineChars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　　</w:t>
      </w:r>
      <w:r>
        <w:rPr>
          <w:rFonts w:ascii="Times New Roman" w:hAnsi="Times New Roman" w:eastAsia="黑体" w:cs="Times New Roman"/>
          <w:sz w:val="32"/>
          <w:szCs w:val="22"/>
        </w:rPr>
        <w:t>二、主动公开政府信息情况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1515.2592</w:t>
            </w:r>
          </w:p>
        </w:tc>
      </w:tr>
    </w:tbl>
    <w:p>
      <w:pPr>
        <w:overflowPunct w:val="0"/>
        <w:spacing w:afterLines="100" w:line="560" w:lineRule="exact"/>
        <w:ind w:firstLine="0" w:firstLineChars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　　</w:t>
      </w:r>
      <w:r>
        <w:rPr>
          <w:rFonts w:ascii="Times New Roman" w:hAnsi="Times New Roman" w:eastAsia="黑体" w:cs="Times New Roman"/>
          <w:sz w:val="32"/>
          <w:szCs w:val="22"/>
        </w:rPr>
        <w:t>三、收到和处理政府信息公开申请情况</w:t>
      </w:r>
    </w:p>
    <w:tbl>
      <w:tblPr>
        <w:tblStyle w:val="2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overflowPunct w:val="0"/>
        <w:spacing w:afterLines="50" w:line="560" w:lineRule="exact"/>
        <w:ind w:firstLine="0" w:firstLineChars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　　</w:t>
      </w:r>
      <w:r>
        <w:rPr>
          <w:rFonts w:ascii="Times New Roman" w:hAnsi="Times New Roman" w:eastAsia="黑体" w:cs="Times New Roman"/>
          <w:sz w:val="32"/>
          <w:szCs w:val="22"/>
        </w:rPr>
        <w:t>四、政府信息公开行政复议、行政诉讼情况</w:t>
      </w:r>
    </w:p>
    <w:tbl>
      <w:tblPr>
        <w:tblStyle w:val="2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0" w:firstLineChars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　　</w:t>
      </w:r>
      <w:r>
        <w:rPr>
          <w:rFonts w:ascii="Times New Roman" w:hAnsi="Times New Roman" w:eastAsia="黑体" w:cs="Times New Roman"/>
          <w:sz w:val="32"/>
          <w:szCs w:val="22"/>
        </w:rPr>
        <w:t>五、存在的主要问题及改进情况</w:t>
      </w:r>
    </w:p>
    <w:p>
      <w:pPr>
        <w:overflowPunct w:val="0"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　　2022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政府信息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公开工作总体推进情况良好，但还存在一些困难和问题亟须后续加以认真研究解决，主要表现在工作推进还不深入、机制保障还很薄弱、专区建设缺乏标准等。</w:t>
      </w:r>
    </w:p>
    <w:p>
      <w:pPr>
        <w:overflowPunct w:val="0"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下一步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从以下两方面着手：一是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紧紧围绕县委、县政府中心工作和年度工作要点，开展更深入更细致的政府信息公开工作，助力提升基层治理能力和水平；二是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继续编制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完成其他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行政权力领域政务公开事项标准目录，完善更加规范的政府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公开平台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进一步保障基层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政务公开标准化规范化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向纵深推进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</w:p>
    <w:p>
      <w:pPr>
        <w:overflowPunct w:val="0"/>
        <w:spacing w:line="560" w:lineRule="exact"/>
        <w:ind w:firstLine="0" w:firstLineChars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　　</w:t>
      </w:r>
      <w:r>
        <w:rPr>
          <w:rFonts w:ascii="Times New Roman" w:hAnsi="Times New Roman" w:eastAsia="黑体" w:cs="Times New Roman"/>
          <w:sz w:val="32"/>
          <w:szCs w:val="22"/>
        </w:rPr>
        <w:t>六、其他需要报告的事项</w:t>
      </w:r>
    </w:p>
    <w:p>
      <w:pPr>
        <w:snapToGrid w:val="0"/>
        <w:spacing w:line="590" w:lineRule="atLeast"/>
        <w:ind w:firstLine="0" w:firstLineChars="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年未收取政府信息公开信息处理费。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45694F1E"/>
    <w:rsid w:val="456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2023-02-16T09:00:00Z</dcterms:created>
  <dc:creator>你微笑时很美</dc:creator>
  <cp:lastModifiedBy>你微笑时很美</cp:lastModifiedBy>
  <dcterms:modified xsi:type="dcterms:W3CDTF">2023-02-16T09:00:41Z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A226035B6F974E64BC96ECEC6EFFAAF0</vt:lpwstr>
  </property>
</Properties>
</file>