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1：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上半年驻村工作情况登记表</w:t>
      </w:r>
    </w:p>
    <w:tbl>
      <w:tblPr>
        <w:tblStyle w:val="4"/>
        <w:tblpPr w:leftFromText="180" w:rightFromText="180" w:vertAnchor="text" w:horzAnchor="page" w:tblpXSpec="center" w:tblpY="159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080"/>
        <w:gridCol w:w="1785"/>
        <w:gridCol w:w="600"/>
        <w:gridCol w:w="1285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86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汉阴县政府办</w:t>
            </w:r>
          </w:p>
        </w:tc>
        <w:tc>
          <w:tcPr>
            <w:tcW w:w="188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所驻县镇村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汉阴县城关镇月河村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驻村工作队队长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徐   平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13992506155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帮扶村基本情况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8522" w:type="dxa"/>
            <w:gridSpan w:val="6"/>
          </w:tcPr>
          <w:p>
            <w:pPr>
              <w:pStyle w:val="2"/>
              <w:widowControl/>
              <w:adjustRightInd w:val="0"/>
              <w:snapToGrid w:val="0"/>
              <w:spacing w:beforeAutospacing="0" w:afterAutospacing="0"/>
              <w:ind w:firstLine="480" w:firstLineChars="200"/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全村辖12个村民小组（含原红心村1、2、3组），1227户，4035人。有耕地面积3234亩（其中：水田1336亩，旱坡地1898亩），山林面积2767亩。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2016年农民人均可支配收入11119元；农民主要收入来源农业、种养殖、务工等；村内互助资金协会1个,养殖合作社1个；村内配有300平方米卫生室一个、文化广场1个、农家书屋1个、互助幸福院1个。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发放扶贫贷款对象30户，发放扶贫贴息贷款149万元。依照安康市贫困户退出认定标准，通过安康市第三方评估组验收，月河村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退出106户267人，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2016年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实现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整体脱贫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2017年为巩固提升村，有贫困户</w:t>
            </w: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/>
              </w:rPr>
              <w:t>3户5人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，其中低保户1户，一般贫困户3户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 xml:space="preserve">。 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整体扶贫工作成效及2017年上半年主要工作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8522" w:type="dxa"/>
            <w:gridSpan w:val="6"/>
          </w:tcPr>
          <w:p>
            <w:pPr>
              <w:widowControl/>
              <w:adjustRightInd w:val="0"/>
              <w:snapToGrid w:val="0"/>
              <w:ind w:firstLine="504" w:firstLineChars="210"/>
              <w:jc w:val="left"/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为巩固提升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eastAsia="zh-CN"/>
              </w:rPr>
              <w:t>月河村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脱贫成效，2017年</w:t>
            </w: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</w:rPr>
              <w:t>村”三委”和驻村工作队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按照“包抓责任基本不变、帮扶机制基本不变、帮扶力度不减、扶贫政策不减”的原则和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脱贫不返贫的目标任务，</w:t>
            </w: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</w:rPr>
              <w:t>紧紧围绕城关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镇党委政府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脱贫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攻坚任务要求，继续坚持分类指导、因户施策，</w:t>
            </w: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</w:rPr>
              <w:t>从以下几方面扎实帮扶开展脱贫攻坚巩固提升工作。</w:t>
            </w:r>
          </w:p>
          <w:p>
            <w:pPr>
              <w:pStyle w:val="2"/>
              <w:widowControl/>
              <w:adjustRightInd w:val="0"/>
              <w:snapToGrid w:val="0"/>
              <w:spacing w:beforeAutospacing="0" w:afterAutospacing="0"/>
              <w:ind w:firstLine="480" w:firstLineChars="200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444444"/>
                <w:sz w:val="24"/>
                <w:szCs w:val="24"/>
              </w:rPr>
              <w:t>1、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为确保巩固提升工作有序开展，成立了由城关镇联村副镇长徐平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为组长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，村长沈桂根、第一书记杨生军、镇农业站站长杨家林等同志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为副组长的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月河村脱贫攻坚巩固提升领导小组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，下辖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三个小组，具体开展实施12个村民小组脱贫攻坚巩固提升工作。</w:t>
            </w:r>
          </w:p>
          <w:p>
            <w:pPr>
              <w:widowControl/>
              <w:adjustRightInd w:val="0"/>
              <w:snapToGrid w:val="0"/>
              <w:ind w:firstLine="506" w:firstLineChars="211"/>
              <w:jc w:val="left"/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</w:rPr>
              <w:t>2、通过村三委商议，制定了《月河村2017年脱贫攻坚巩固提升工作实施方案》和工作计划，</w:t>
            </w: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eastAsia="zh-CN"/>
              </w:rPr>
              <w:t>对脱贫攻坚具体工作任务进行了分配</w:t>
            </w: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adjustRightInd w:val="0"/>
              <w:snapToGrid w:val="0"/>
              <w:ind w:firstLine="506" w:firstLineChars="211"/>
              <w:jc w:val="left"/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/>
              </w:rPr>
              <w:t>3、扎实有效开展了2017年贫困户对象核实和数据清洗工作，</w:t>
            </w: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4"/>
                <w:szCs w:val="24"/>
                <w:lang w:val="en-US" w:eastAsia="zh-CN"/>
              </w:rPr>
              <w:t>一是</w:t>
            </w: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/>
              </w:rPr>
              <w:t>在2014年以来月河村建档立卡贫困户280户842人的基础上，认真分析研判，系统建档类别分别为：2017年实际帮扶对象3户5人（未脱贫1户2人、返贫2户3人），扶贫对象最终保留76户210人、拟脱贫40户95人，2014年以来拟从系统中剔除161户532人。</w:t>
            </w: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4"/>
                <w:szCs w:val="24"/>
                <w:lang w:val="en-US" w:eastAsia="zh-CN"/>
              </w:rPr>
              <w:t>二是</w:t>
            </w: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/>
              </w:rPr>
              <w:t>村三委组织召开了村组干部、驻村工作队员、党员代表和群众代表大会，深入各小组召开了群众会和院落会，对贫困户对象按类别进行了核实和评议。通过贫困户对象核实和数据清洗工作后,目前月河村建档立卡规模为：贫困户118户302人,其中：五保户16户16人,低保户66户169人,扶贫户36户117人。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下半年工作计划及后续打算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2" w:hRule="atLeast"/>
          <w:jc w:val="center"/>
        </w:trPr>
        <w:tc>
          <w:tcPr>
            <w:tcW w:w="8522" w:type="dxa"/>
            <w:gridSpan w:val="6"/>
          </w:tcPr>
          <w:p>
            <w:pPr>
              <w:widowControl/>
              <w:adjustRightInd w:val="0"/>
              <w:snapToGrid w:val="0"/>
              <w:ind w:firstLine="240" w:firstLineChars="100"/>
              <w:jc w:val="left"/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/>
              </w:rPr>
              <w:t>下一步我们将按照脱贫攻坚政策,因户施策。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ind w:firstLine="480" w:firstLineChars="200"/>
              <w:jc w:val="left"/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/>
              </w:rPr>
              <w:t>1、继续落实好镇、村干部脱贫帮扶责任人机制，第一书记和驻村工作队员驻村工作每月不少于20天，责任帮扶人每月不少于3次深入贫困户家中，走访了解困难和疾苦，力所能及帮扶解决，加大脱贫攻坚政策宣传，提升群众认知度和满意率。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ind w:firstLine="480" w:firstLineChars="200"/>
              <w:jc w:val="left"/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/>
              </w:rPr>
              <w:t>2、加大基础设施建设推进工作力度，争取7月底前将8组通组路水泥路硬化和9组沙石路建设竣工交付使用。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ind w:firstLine="480" w:firstLineChars="200"/>
              <w:jc w:val="left"/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/>
              </w:rPr>
              <w:t>3、积极做好城关镇月河村移民搬迁(脱贫)安置点前期工作，力争7月10日前开工建设。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ind w:firstLine="480" w:firstLineChars="200"/>
              <w:jc w:val="left"/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/>
              </w:rPr>
              <w:t>4、对数据清洗后建档立卡3户贫困户危房改造加大宣传、动员、协调资金,争取10月底前改造完成入住。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当前工作面积临的困难及意见建议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firstLine="240" w:firstLineChars="100"/>
              <w:jc w:val="left"/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/>
              </w:rPr>
              <w:t>巩固提升期间产业扶持资金投入力度有待提高；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firstLine="240" w:firstLineChars="100"/>
              <w:jc w:val="left"/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/>
              </w:rPr>
              <w:t>基础建设有一定缺口，但相关政策和资金跟不上。</w:t>
            </w:r>
          </w:p>
          <w:p>
            <w:pPr>
              <w:widowControl/>
              <w:adjustRightInd w:val="0"/>
              <w:snapToGrid w:val="0"/>
              <w:ind w:firstLine="240" w:firstLineChars="100"/>
              <w:jc w:val="left"/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ind w:firstLine="240" w:firstLineChars="100"/>
              <w:jc w:val="left"/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ind w:firstLine="240" w:firstLineChars="100"/>
              <w:jc w:val="left"/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ind w:firstLine="240" w:firstLineChars="100"/>
              <w:jc w:val="left"/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ind w:firstLine="240" w:firstLineChars="100"/>
              <w:jc w:val="left"/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ind w:firstLine="240" w:firstLineChars="100"/>
              <w:jc w:val="left"/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ind w:firstLine="240" w:firstLineChars="100"/>
              <w:jc w:val="left"/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ind w:firstLine="240" w:firstLineChars="100"/>
              <w:jc w:val="left"/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873" w:right="1800" w:bottom="87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53AAA5"/>
    <w:multiLevelType w:val="singleLevel"/>
    <w:tmpl w:val="5953AA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ZGQ3YWU2ODAwY2EwMWZjNjJkMjA4NDA3OGQyZjQifQ=="/>
  </w:docVars>
  <w:rsids>
    <w:rsidRoot w:val="0EBC0206"/>
    <w:rsid w:val="0AF7549B"/>
    <w:rsid w:val="0EBC0206"/>
    <w:rsid w:val="316B0505"/>
    <w:rsid w:val="41092876"/>
    <w:rsid w:val="41627205"/>
    <w:rsid w:val="454977E0"/>
    <w:rsid w:val="48D34A95"/>
    <w:rsid w:val="542D0189"/>
    <w:rsid w:val="648D4D55"/>
    <w:rsid w:val="6C047A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1230</Words>
  <Characters>1331</Characters>
  <Lines>0</Lines>
  <Paragraphs>0</Paragraphs>
  <TotalTime>0</TotalTime>
  <ScaleCrop>false</ScaleCrop>
  <LinksUpToDate>false</LinksUpToDate>
  <CharactersWithSpaces>1335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2017-06-28T11:06:00Z</dcterms:created>
  <dc:creator>Administrator</dc:creator>
  <cp:lastModifiedBy>你微笑时很美</cp:lastModifiedBy>
  <cp:lastPrinted>2017-06-28T11:21:00Z</cp:lastPrinted>
  <dcterms:modified xsi:type="dcterms:W3CDTF">2023-05-05T02:24:11Z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CBDE13662DDC4636A0551CD93F51A1B3_12</vt:lpwstr>
  </property>
</Properties>
</file>