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28"/>
          <w:tab w:val="left" w:pos="6548"/>
          <w:tab w:val="left" w:pos="9528"/>
        </w:tabs>
        <w:jc w:val="left"/>
        <w:rPr>
          <w:rFonts w:hint="eastAsia" w:eastAsia="黑体"/>
          <w:kern w:val="0"/>
          <w:sz w:val="24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表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b/>
          <w:bCs/>
          <w:kern w:val="0"/>
          <w:sz w:val="36"/>
          <w:szCs w:val="36"/>
          <w:u w:val="single"/>
        </w:rPr>
      </w:pPr>
      <w:r>
        <w:rPr>
          <w:rFonts w:eastAsia="方正小标宋简体"/>
          <w:kern w:val="0"/>
          <w:sz w:val="36"/>
          <w:szCs w:val="36"/>
          <w:u w:val="single"/>
        </w:rPr>
        <w:t xml:space="preserve"> </w:t>
      </w:r>
      <w:r>
        <w:rPr>
          <w:rFonts w:hint="eastAsia" w:eastAsia="方正小标宋简体"/>
          <w:kern w:val="0"/>
          <w:sz w:val="36"/>
          <w:szCs w:val="36"/>
          <w:u w:val="single"/>
          <w:lang w:eastAsia="zh-CN"/>
        </w:rPr>
        <w:t>汉阴</w:t>
      </w:r>
      <w:r>
        <w:rPr>
          <w:rFonts w:eastAsia="方正小标宋简体"/>
          <w:kern w:val="0"/>
          <w:sz w:val="36"/>
          <w:szCs w:val="36"/>
          <w:u w:val="single"/>
        </w:rPr>
        <w:t xml:space="preserve">  </w:t>
      </w:r>
      <w:r>
        <w:rPr>
          <w:rFonts w:eastAsia="方正小标宋简体"/>
          <w:kern w:val="0"/>
          <w:sz w:val="36"/>
          <w:szCs w:val="36"/>
        </w:rPr>
        <w:t>县（市、区）2022年两个</w:t>
      </w:r>
      <w:r>
        <w:rPr>
          <w:rFonts w:eastAsia="方正小标宋简体"/>
          <w:kern w:val="0"/>
          <w:sz w:val="36"/>
          <w:szCs w:val="36"/>
          <w:lang w:val="en"/>
        </w:rPr>
        <w:t>“</w:t>
      </w:r>
      <w:r>
        <w:rPr>
          <w:rFonts w:eastAsia="方正小标宋简体"/>
          <w:kern w:val="0"/>
          <w:sz w:val="36"/>
          <w:szCs w:val="36"/>
        </w:rPr>
        <w:t>只增不减</w:t>
      </w:r>
      <w:r>
        <w:rPr>
          <w:rFonts w:eastAsia="方正小标宋简体"/>
          <w:kern w:val="0"/>
          <w:sz w:val="36"/>
          <w:szCs w:val="36"/>
          <w:lang w:val="en"/>
        </w:rPr>
        <w:t>”</w:t>
      </w:r>
      <w:r>
        <w:rPr>
          <w:rFonts w:eastAsia="方正小标宋简体"/>
          <w:kern w:val="0"/>
          <w:sz w:val="36"/>
          <w:szCs w:val="36"/>
        </w:rPr>
        <w:t>落实情况统计表</w:t>
      </w:r>
    </w:p>
    <w:p>
      <w:pPr>
        <w:widowControl/>
        <w:rPr>
          <w:kern w:val="0"/>
          <w:sz w:val="24"/>
        </w:rPr>
      </w:pPr>
    </w:p>
    <w:p>
      <w:pPr>
        <w:widowControl/>
        <w:rPr>
          <w:kern w:val="0"/>
          <w:sz w:val="24"/>
        </w:rPr>
      </w:pPr>
      <w:bookmarkStart w:id="0" w:name="_GoBack"/>
      <w:bookmarkEnd w:id="0"/>
    </w:p>
    <w:p>
      <w:pPr>
        <w:widowControl/>
        <w:ind w:firstLine="480" w:firstLineChars="200"/>
        <w:rPr>
          <w:b/>
          <w:bCs/>
          <w:kern w:val="0"/>
          <w:sz w:val="24"/>
          <w:u w:val="single"/>
        </w:rPr>
      </w:pPr>
      <w:r>
        <w:rPr>
          <w:kern w:val="0"/>
          <w:sz w:val="24"/>
        </w:rPr>
        <w:t xml:space="preserve">县（市、区）财政局（盖章）                    </w:t>
      </w:r>
      <w:r>
        <w:rPr>
          <w:rFonts w:hint="eastAsia"/>
          <w:kern w:val="0"/>
          <w:sz w:val="24"/>
          <w:lang w:val="en-US" w:eastAsia="zh-CN"/>
        </w:rPr>
        <w:t xml:space="preserve">  </w:t>
      </w:r>
      <w:r>
        <w:rPr>
          <w:kern w:val="0"/>
          <w:sz w:val="24"/>
        </w:rPr>
        <w:t xml:space="preserve">   县（市、区）教育局（盖章）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2835"/>
        <w:gridCol w:w="1635"/>
        <w:gridCol w:w="4470"/>
        <w:gridCol w:w="2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上年度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本年度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基础教育学生数（人）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47076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46245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中职学生数（人）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1426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1404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48493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47649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实拨一般公共预算教育支出（万元）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65700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65710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减：补拨往年欠款（万元）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65700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65710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生均一般公共预算教育支出（元）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13548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13790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注：依据财政总决算和教育事业年报填报。（附相关佐证材料）</w:t>
            </w: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6E397D5B"/>
    <w:rsid w:val="6E3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2023-10-16T09:02:00Z</dcterms:created>
  <dc:creator>你微笑时很美</dc:creator>
  <cp:lastModifiedBy>你微笑时很美</cp:lastModifiedBy>
  <dcterms:modified xsi:type="dcterms:W3CDTF">2023-10-16T09:03:46Z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042DD66CA78E4D6898B5224762F843C1_11</vt:lpwstr>
  </property>
</Properties>
</file>