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表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jc w:val="center"/>
        <w:rPr>
          <w:kern w:val="0"/>
          <w:sz w:val="24"/>
        </w:rPr>
      </w:pPr>
      <w:r>
        <w:rPr>
          <w:b/>
          <w:bCs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b/>
          <w:bCs/>
          <w:kern w:val="0"/>
          <w:sz w:val="36"/>
          <w:szCs w:val="36"/>
          <w:u w:val="single"/>
          <w:lang w:eastAsia="zh-CN"/>
        </w:rPr>
        <w:t>汉阴</w:t>
      </w:r>
      <w:r>
        <w:rPr>
          <w:b/>
          <w:bCs/>
          <w:kern w:val="0"/>
          <w:sz w:val="36"/>
          <w:szCs w:val="36"/>
          <w:u w:val="single"/>
        </w:rPr>
        <w:t xml:space="preserve">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（市、区）级政府2022年教育费附加征收、拨付情况统计表</w:t>
      </w:r>
    </w:p>
    <w:p>
      <w:pPr>
        <w:widowControl/>
        <w:tabs>
          <w:tab w:val="left" w:pos="9671"/>
        </w:tabs>
        <w:jc w:val="left"/>
        <w:rPr>
          <w:kern w:val="0"/>
          <w:sz w:val="24"/>
        </w:rPr>
      </w:pPr>
    </w:p>
    <w:p>
      <w:pPr>
        <w:widowControl/>
        <w:tabs>
          <w:tab w:val="left" w:pos="9671"/>
        </w:tabs>
        <w:jc w:val="left"/>
        <w:rPr>
          <w:kern w:val="0"/>
          <w:sz w:val="24"/>
        </w:rPr>
      </w:pPr>
      <w:r>
        <w:rPr>
          <w:kern w:val="0"/>
          <w:sz w:val="24"/>
        </w:rPr>
        <w:t>县（市、区）财政局（盖章）                  县（市、区）税务局（盖章）                            县（市、区）教育局（盖章）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8505"/>
        <w:gridCol w:w="3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项目\年度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bCs/>
                <w:kern w:val="0"/>
                <w:sz w:val="24"/>
              </w:rPr>
              <w:t>202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增值税（万元）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6841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消费税（万元）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两税总额（万元）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6869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征收比例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3%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应征附加数（万元）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206.07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实征附加数（万元）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306.59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欠征附加数（万元）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上解上级财政（万元）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应拨教育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206.07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实拨教育（万元）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欠拨教育（万元）</w:t>
            </w: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0BDE0699"/>
    <w:rsid w:val="0B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2023-10-16T09:06:00Z</dcterms:created>
  <dc:creator>你微笑时很美</dc:creator>
  <cp:lastModifiedBy>你微笑时很美</cp:lastModifiedBy>
  <dcterms:modified xsi:type="dcterms:W3CDTF">2023-10-16T09:07:29Z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40E29647982D46199B563254F46B7B5D_11</vt:lpwstr>
  </property>
</Properties>
</file>