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 w:val="left" w:pos="5145"/>
        </w:tabs>
        <w:adjustRightInd w:val="0"/>
        <w:snapToGrid w:val="0"/>
        <w:spacing w:line="360" w:lineRule="auto"/>
        <w:rPr>
          <w:rFonts w:ascii="宋体" w:hAnsi="宋体" w:cs="宋体"/>
          <w:b/>
          <w:bCs/>
          <w:sz w:val="84"/>
          <w:szCs w:val="84"/>
          <w:highlight w:val="none"/>
        </w:rPr>
      </w:pPr>
      <w:r>
        <w:rPr>
          <w:rFonts w:hint="eastAsia" w:ascii="宋体" w:hAnsi="宋体" w:cs="宋体"/>
          <w:b/>
          <w:bCs/>
          <w:sz w:val="28"/>
          <w:szCs w:val="28"/>
          <w:highlight w:val="none"/>
        </w:rPr>
        <w:t xml:space="preserve">项目编号：SXKC2021-GK105                        </w:t>
      </w:r>
      <w:r>
        <w:rPr>
          <w:rFonts w:hint="eastAsia" w:ascii="宋体" w:hAnsi="宋体" w:cs="宋体"/>
          <w:b/>
          <w:sz w:val="36"/>
          <w:szCs w:val="36"/>
          <w:highlight w:val="none"/>
        </w:rPr>
        <w:t xml:space="preserve"> </w:t>
      </w:r>
      <w:r>
        <w:rPr>
          <w:rFonts w:hint="eastAsia" w:ascii="宋体" w:hAnsi="宋体" w:cs="宋体"/>
          <w:b/>
          <w:sz w:val="28"/>
          <w:szCs w:val="28"/>
          <w:highlight w:val="none"/>
          <w:bdr w:val="single" w:color="auto" w:sz="4" w:space="0"/>
        </w:rPr>
        <w:t>政府采购项目</w:t>
      </w:r>
    </w:p>
    <w:p>
      <w:pPr>
        <w:tabs>
          <w:tab w:val="left" w:pos="5145"/>
        </w:tabs>
        <w:adjustRightInd w:val="0"/>
        <w:snapToGrid w:val="0"/>
        <w:spacing w:line="360" w:lineRule="auto"/>
        <w:jc w:val="center"/>
        <w:rPr>
          <w:rFonts w:ascii="宋体" w:hAnsi="宋体" w:cs="宋体"/>
          <w:b/>
          <w:bCs/>
          <w:sz w:val="56"/>
          <w:szCs w:val="56"/>
          <w:highlight w:val="none"/>
        </w:rPr>
      </w:pPr>
    </w:p>
    <w:p>
      <w:pPr>
        <w:tabs>
          <w:tab w:val="left" w:pos="5145"/>
        </w:tabs>
        <w:adjustRightInd w:val="0"/>
        <w:snapToGrid w:val="0"/>
        <w:spacing w:line="360" w:lineRule="auto"/>
        <w:jc w:val="center"/>
        <w:rPr>
          <w:rFonts w:ascii="宋体" w:hAnsi="宋体" w:cs="宋体"/>
          <w:b/>
          <w:bCs/>
          <w:sz w:val="56"/>
          <w:szCs w:val="56"/>
          <w:highlight w:val="none"/>
        </w:rPr>
      </w:pPr>
    </w:p>
    <w:p>
      <w:pPr>
        <w:tabs>
          <w:tab w:val="left" w:pos="5145"/>
        </w:tabs>
        <w:adjustRightInd w:val="0"/>
        <w:snapToGrid w:val="0"/>
        <w:spacing w:line="360" w:lineRule="auto"/>
        <w:jc w:val="center"/>
        <w:rPr>
          <w:rFonts w:ascii="宋体" w:hAnsi="宋体" w:cs="宋体"/>
          <w:b/>
          <w:bCs/>
          <w:sz w:val="84"/>
          <w:szCs w:val="84"/>
          <w:highlight w:val="none"/>
        </w:rPr>
      </w:pPr>
      <w:r>
        <w:rPr>
          <w:rFonts w:hint="eastAsia" w:ascii="宋体" w:hAnsi="宋体" w:cs="宋体"/>
          <w:b/>
          <w:bCs/>
          <w:sz w:val="56"/>
          <w:szCs w:val="56"/>
          <w:highlight w:val="none"/>
        </w:rPr>
        <w:t>汉阴县中医医院信息化建设项目</w:t>
      </w:r>
    </w:p>
    <w:p>
      <w:pPr>
        <w:tabs>
          <w:tab w:val="left" w:pos="5145"/>
        </w:tabs>
        <w:adjustRightInd w:val="0"/>
        <w:snapToGrid w:val="0"/>
        <w:spacing w:line="360" w:lineRule="auto"/>
        <w:jc w:val="center"/>
        <w:rPr>
          <w:rFonts w:ascii="宋体" w:hAnsi="宋体" w:cs="宋体"/>
          <w:b/>
          <w:bCs/>
          <w:sz w:val="84"/>
          <w:szCs w:val="84"/>
          <w:highlight w:val="none"/>
        </w:rPr>
      </w:pPr>
      <w:r>
        <w:rPr>
          <w:rFonts w:hint="eastAsia" w:ascii="宋体" w:hAnsi="宋体" w:cs="宋体"/>
          <w:highlight w:val="none"/>
        </w:rPr>
        <w:drawing>
          <wp:anchor distT="0" distB="0" distL="114300" distR="114300" simplePos="0" relativeHeight="251662336" behindDoc="0" locked="0" layoutInCell="1" allowOverlap="1">
            <wp:simplePos x="0" y="0"/>
            <wp:positionH relativeFrom="column">
              <wp:posOffset>1675765</wp:posOffset>
            </wp:positionH>
            <wp:positionV relativeFrom="paragraph">
              <wp:posOffset>128270</wp:posOffset>
            </wp:positionV>
            <wp:extent cx="2338705" cy="2176145"/>
            <wp:effectExtent l="0" t="0" r="4445" b="14605"/>
            <wp:wrapNone/>
            <wp:docPr id="2" name="图片 5" descr="92338f5dedaf5324a51bf62e0c43a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92338f5dedaf5324a51bf62e0c43a6d"/>
                    <pic:cNvPicPr>
                      <a:picLocks noChangeAspect="1"/>
                    </pic:cNvPicPr>
                  </pic:nvPicPr>
                  <pic:blipFill>
                    <a:blip r:embed="rId14"/>
                    <a:stretch>
                      <a:fillRect/>
                    </a:stretch>
                  </pic:blipFill>
                  <pic:spPr>
                    <a:xfrm>
                      <a:off x="0" y="0"/>
                      <a:ext cx="2338705" cy="2176145"/>
                    </a:xfrm>
                    <a:prstGeom prst="rect">
                      <a:avLst/>
                    </a:prstGeom>
                    <a:noFill/>
                    <a:ln>
                      <a:noFill/>
                    </a:ln>
                  </pic:spPr>
                </pic:pic>
              </a:graphicData>
            </a:graphic>
          </wp:anchor>
        </w:drawing>
      </w:r>
    </w:p>
    <w:p>
      <w:pPr>
        <w:tabs>
          <w:tab w:val="left" w:pos="5145"/>
        </w:tabs>
        <w:adjustRightInd w:val="0"/>
        <w:snapToGrid w:val="0"/>
        <w:spacing w:line="360" w:lineRule="auto"/>
        <w:jc w:val="center"/>
        <w:rPr>
          <w:rFonts w:ascii="宋体" w:hAnsi="宋体" w:cs="宋体"/>
          <w:b/>
          <w:bCs/>
          <w:sz w:val="84"/>
          <w:szCs w:val="84"/>
          <w:highlight w:val="none"/>
        </w:rPr>
      </w:pPr>
    </w:p>
    <w:p>
      <w:pPr>
        <w:tabs>
          <w:tab w:val="left" w:pos="5145"/>
        </w:tabs>
        <w:adjustRightInd w:val="0"/>
        <w:snapToGrid w:val="0"/>
        <w:spacing w:line="360" w:lineRule="auto"/>
        <w:rPr>
          <w:rFonts w:ascii="宋体" w:hAnsi="宋体" w:cs="宋体"/>
          <w:b/>
          <w:bCs/>
          <w:sz w:val="84"/>
          <w:szCs w:val="84"/>
          <w:highlight w:val="none"/>
        </w:rPr>
      </w:pPr>
    </w:p>
    <w:p>
      <w:pPr>
        <w:tabs>
          <w:tab w:val="left" w:pos="5145"/>
        </w:tabs>
        <w:adjustRightInd w:val="0"/>
        <w:snapToGrid w:val="0"/>
        <w:spacing w:line="360" w:lineRule="auto"/>
        <w:jc w:val="center"/>
        <w:rPr>
          <w:rFonts w:ascii="宋体" w:hAnsi="宋体" w:cs="宋体"/>
          <w:b/>
          <w:bCs/>
          <w:sz w:val="84"/>
          <w:szCs w:val="84"/>
          <w:highlight w:val="none"/>
        </w:rPr>
      </w:pPr>
      <w:r>
        <w:rPr>
          <w:rFonts w:hint="eastAsia" w:ascii="宋体" w:hAnsi="宋体" w:cs="宋体"/>
          <w:b/>
          <w:bCs/>
          <w:sz w:val="84"/>
          <w:szCs w:val="84"/>
          <w:highlight w:val="none"/>
        </w:rPr>
        <w:t>招 标 文 件</w:t>
      </w:r>
    </w:p>
    <w:p>
      <w:pPr>
        <w:tabs>
          <w:tab w:val="left" w:pos="4620"/>
          <w:tab w:val="left" w:pos="5145"/>
        </w:tabs>
        <w:adjustRightInd w:val="0"/>
        <w:snapToGrid w:val="0"/>
        <w:spacing w:line="360" w:lineRule="auto"/>
        <w:rPr>
          <w:rFonts w:ascii="宋体" w:hAnsi="宋体" w:cs="宋体"/>
          <w:b/>
          <w:bCs/>
          <w:sz w:val="32"/>
          <w:szCs w:val="32"/>
          <w:highlight w:val="none"/>
        </w:rPr>
      </w:pPr>
    </w:p>
    <w:p>
      <w:pPr>
        <w:tabs>
          <w:tab w:val="left" w:pos="4620"/>
          <w:tab w:val="left" w:pos="5145"/>
        </w:tabs>
        <w:adjustRightInd w:val="0"/>
        <w:snapToGrid w:val="0"/>
        <w:spacing w:line="360" w:lineRule="auto"/>
        <w:rPr>
          <w:rFonts w:ascii="宋体" w:hAnsi="宋体" w:cs="宋体"/>
          <w:b/>
          <w:bCs/>
          <w:sz w:val="32"/>
          <w:szCs w:val="32"/>
          <w:highlight w:val="none"/>
        </w:rPr>
      </w:pPr>
    </w:p>
    <w:p>
      <w:pPr>
        <w:tabs>
          <w:tab w:val="left" w:pos="4620"/>
          <w:tab w:val="left" w:pos="5145"/>
        </w:tabs>
        <w:adjustRightInd w:val="0"/>
        <w:snapToGrid w:val="0"/>
        <w:spacing w:line="360" w:lineRule="auto"/>
        <w:ind w:left="1" w:firstLine="851" w:firstLineChars="265"/>
        <w:rPr>
          <w:rFonts w:ascii="宋体" w:hAnsi="宋体" w:cs="宋体"/>
          <w:b/>
          <w:bCs/>
          <w:sz w:val="32"/>
          <w:szCs w:val="32"/>
          <w:highlight w:val="none"/>
        </w:rPr>
      </w:pPr>
      <w:r>
        <w:rPr>
          <w:rFonts w:hint="eastAsia" w:ascii="宋体" w:hAnsi="宋体" w:cs="宋体"/>
          <w:b/>
          <w:bCs/>
          <w:sz w:val="32"/>
          <w:szCs w:val="32"/>
          <w:highlight w:val="none"/>
        </w:rPr>
        <w:t>采   购   人：汉阴县卫生健康局</w:t>
      </w:r>
    </w:p>
    <w:p>
      <w:pPr>
        <w:tabs>
          <w:tab w:val="left" w:pos="4620"/>
          <w:tab w:val="left" w:pos="5145"/>
        </w:tabs>
        <w:adjustRightInd w:val="0"/>
        <w:snapToGrid w:val="0"/>
        <w:spacing w:line="360" w:lineRule="auto"/>
        <w:ind w:left="1" w:firstLine="851" w:firstLineChars="265"/>
        <w:rPr>
          <w:rFonts w:ascii="宋体" w:hAnsi="宋体" w:cs="宋体"/>
          <w:b/>
          <w:bCs/>
          <w:sz w:val="32"/>
          <w:szCs w:val="32"/>
          <w:highlight w:val="none"/>
        </w:rPr>
      </w:pPr>
      <w:r>
        <w:rPr>
          <w:rFonts w:hint="eastAsia" w:ascii="宋体" w:hAnsi="宋体" w:cs="宋体"/>
          <w:b/>
          <w:bCs/>
          <w:sz w:val="32"/>
          <w:szCs w:val="32"/>
          <w:highlight w:val="none"/>
        </w:rPr>
        <w:t>采购代理机构：陕西坤驰项目管理咨询有限公司</w:t>
      </w:r>
    </w:p>
    <w:p>
      <w:pPr>
        <w:tabs>
          <w:tab w:val="left" w:pos="4620"/>
          <w:tab w:val="left" w:pos="5145"/>
        </w:tabs>
        <w:adjustRightInd w:val="0"/>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二○二一年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p>
    <w:p>
      <w:pPr>
        <w:pStyle w:val="38"/>
        <w:adjustRightInd w:val="0"/>
        <w:snapToGrid w:val="0"/>
        <w:spacing w:line="360" w:lineRule="auto"/>
        <w:ind w:left="-199" w:leftChars="-95" w:firstLine="200" w:firstLineChars="181"/>
        <w:rPr>
          <w:rFonts w:hAnsi="宋体" w:cs="宋体"/>
          <w:color w:val="000000"/>
          <w:sz w:val="11"/>
          <w:szCs w:val="11"/>
          <w:highlight w:val="none"/>
        </w:rPr>
      </w:pPr>
    </w:p>
    <w:p>
      <w:pPr>
        <w:adjustRightInd w:val="0"/>
        <w:snapToGrid w:val="0"/>
        <w:spacing w:line="360" w:lineRule="auto"/>
        <w:jc w:val="center"/>
        <w:rPr>
          <w:rFonts w:ascii="宋体" w:hAnsi="宋体" w:cs="宋体"/>
          <w:b/>
          <w:bCs/>
          <w:sz w:val="36"/>
          <w:szCs w:val="36"/>
          <w:highlight w:val="none"/>
        </w:rPr>
      </w:pPr>
      <w:r>
        <w:rPr>
          <w:rFonts w:hint="eastAsia" w:ascii="宋体" w:hAnsi="宋体" w:cs="宋体"/>
          <w:b/>
          <w:bCs/>
          <w:color w:val="000000"/>
          <w:sz w:val="36"/>
          <w:szCs w:val="36"/>
          <w:highlight w:val="none"/>
        </w:rPr>
        <w:t>目  录</w:t>
      </w:r>
    </w:p>
    <w:p>
      <w:pPr>
        <w:pStyle w:val="18"/>
        <w:tabs>
          <w:tab w:val="right" w:leader="dot" w:pos="9040"/>
        </w:tabs>
        <w:adjustRightInd w:val="0"/>
        <w:snapToGrid w:val="0"/>
        <w:spacing w:line="480" w:lineRule="auto"/>
        <w:rPr>
          <w:rFonts w:ascii="宋体" w:hAnsi="宋体" w:cs="宋体"/>
          <w:b/>
          <w:bCs/>
          <w:sz w:val="32"/>
          <w:szCs w:val="32"/>
          <w:highlight w:val="none"/>
        </w:rPr>
      </w:pP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TOC \o "1-3" \h \u </w:instrText>
      </w:r>
      <w:r>
        <w:rPr>
          <w:rFonts w:hint="eastAsia" w:ascii="宋体" w:hAnsi="宋体" w:cs="宋体"/>
          <w:sz w:val="30"/>
          <w:szCs w:val="30"/>
          <w:highlight w:val="none"/>
        </w:rPr>
        <w:fldChar w:fldCharType="separate"/>
      </w:r>
      <w:r>
        <w:rPr>
          <w:highlight w:val="none"/>
        </w:rPr>
        <w:fldChar w:fldCharType="begin"/>
      </w:r>
      <w:r>
        <w:rPr>
          <w:highlight w:val="none"/>
        </w:rPr>
        <w:instrText xml:space="preserve"> HYPERLINK \l "_Toc22844" </w:instrText>
      </w:r>
      <w:r>
        <w:rPr>
          <w:highlight w:val="none"/>
        </w:rPr>
        <w:fldChar w:fldCharType="separate"/>
      </w:r>
      <w:r>
        <w:rPr>
          <w:rFonts w:hint="eastAsia" w:ascii="宋体" w:hAnsi="宋体" w:cs="宋体"/>
          <w:b/>
          <w:bCs/>
          <w:sz w:val="32"/>
          <w:szCs w:val="32"/>
          <w:highlight w:val="none"/>
        </w:rPr>
        <w:t>第一部分  招标公告</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_Toc22844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1</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8"/>
        <w:tabs>
          <w:tab w:val="right" w:leader="dot" w:pos="9040"/>
        </w:tabs>
        <w:adjustRightInd w:val="0"/>
        <w:snapToGrid w:val="0"/>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"_Toc28969" </w:instrText>
      </w:r>
      <w:r>
        <w:rPr>
          <w:highlight w:val="none"/>
        </w:rPr>
        <w:fldChar w:fldCharType="separate"/>
      </w:r>
      <w:r>
        <w:rPr>
          <w:rFonts w:hint="eastAsia" w:ascii="宋体" w:hAnsi="宋体" w:cs="宋体"/>
          <w:b/>
          <w:bCs/>
          <w:sz w:val="32"/>
          <w:szCs w:val="32"/>
          <w:highlight w:val="none"/>
        </w:rPr>
        <w:t>第二部分  供应商须知</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_Toc28969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8"/>
        <w:tabs>
          <w:tab w:val="right" w:leader="dot" w:pos="9040"/>
        </w:tabs>
        <w:adjustRightInd w:val="0"/>
        <w:snapToGrid w:val="0"/>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"_Toc4138" </w:instrText>
      </w:r>
      <w:r>
        <w:rPr>
          <w:highlight w:val="none"/>
        </w:rPr>
        <w:fldChar w:fldCharType="separate"/>
      </w:r>
      <w:r>
        <w:rPr>
          <w:rFonts w:hint="eastAsia" w:ascii="宋体" w:hAnsi="宋体" w:cs="宋体"/>
          <w:b/>
          <w:bCs/>
          <w:sz w:val="32"/>
          <w:szCs w:val="32"/>
          <w:highlight w:val="none"/>
        </w:rPr>
        <w:t>第三部分  评标办法</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_Toc4138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20</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8"/>
        <w:tabs>
          <w:tab w:val="right" w:leader="dot" w:pos="9040"/>
        </w:tabs>
        <w:adjustRightInd w:val="0"/>
        <w:snapToGrid w:val="0"/>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"_Toc5043" </w:instrText>
      </w:r>
      <w:r>
        <w:rPr>
          <w:highlight w:val="none"/>
        </w:rPr>
        <w:fldChar w:fldCharType="separate"/>
      </w:r>
      <w:r>
        <w:rPr>
          <w:rFonts w:hint="eastAsia" w:ascii="宋体" w:hAnsi="宋体" w:cs="宋体"/>
          <w:b/>
          <w:bCs/>
          <w:sz w:val="32"/>
          <w:szCs w:val="32"/>
          <w:highlight w:val="none"/>
        </w:rPr>
        <w:t>第四部分  采购内容及要求</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_Toc5043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22</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8"/>
        <w:tabs>
          <w:tab w:val="right" w:leader="dot" w:pos="9040"/>
        </w:tabs>
        <w:adjustRightInd w:val="0"/>
        <w:snapToGrid w:val="0"/>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"_Toc21628" </w:instrText>
      </w:r>
      <w:r>
        <w:rPr>
          <w:highlight w:val="none"/>
        </w:rPr>
        <w:fldChar w:fldCharType="separate"/>
      </w:r>
      <w:r>
        <w:rPr>
          <w:rFonts w:hint="eastAsia" w:ascii="宋体" w:hAnsi="宋体" w:cs="宋体"/>
          <w:b/>
          <w:bCs/>
          <w:sz w:val="32"/>
          <w:szCs w:val="32"/>
          <w:highlight w:val="none"/>
        </w:rPr>
        <w:t>第五部分  签订合同的主要条款</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_Toc21628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27</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8"/>
        <w:tabs>
          <w:tab w:val="right" w:leader="dot" w:pos="9040"/>
        </w:tabs>
        <w:adjustRightInd w:val="0"/>
        <w:snapToGrid w:val="0"/>
        <w:spacing w:line="480" w:lineRule="auto"/>
        <w:rPr>
          <w:highlight w:val="none"/>
        </w:rPr>
      </w:pPr>
      <w:r>
        <w:rPr>
          <w:highlight w:val="none"/>
        </w:rPr>
        <w:fldChar w:fldCharType="begin"/>
      </w:r>
      <w:r>
        <w:rPr>
          <w:highlight w:val="none"/>
        </w:rPr>
        <w:instrText xml:space="preserve"> HYPERLINK \l "_Toc9643" </w:instrText>
      </w:r>
      <w:r>
        <w:rPr>
          <w:highlight w:val="none"/>
        </w:rPr>
        <w:fldChar w:fldCharType="separate"/>
      </w:r>
      <w:r>
        <w:rPr>
          <w:rFonts w:hint="eastAsia" w:ascii="宋体" w:hAnsi="宋体" w:cs="宋体"/>
          <w:b/>
          <w:bCs/>
          <w:sz w:val="32"/>
          <w:szCs w:val="32"/>
          <w:highlight w:val="none"/>
        </w:rPr>
        <w:t>第六部分  投标文件格式</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_Toc9643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71</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8"/>
        <w:tabs>
          <w:tab w:val="right" w:leader="dot" w:pos="9040"/>
        </w:tabs>
        <w:rPr>
          <w:highlight w:val="none"/>
        </w:rPr>
      </w:pPr>
    </w:p>
    <w:p>
      <w:pPr>
        <w:pStyle w:val="39"/>
        <w:adjustRightInd w:val="0"/>
        <w:snapToGrid w:val="0"/>
        <w:spacing w:line="360" w:lineRule="auto"/>
        <w:ind w:firstLine="1680" w:firstLineChars="700"/>
        <w:jc w:val="both"/>
        <w:rPr>
          <w:rFonts w:cs="宋体"/>
          <w:sz w:val="30"/>
          <w:szCs w:val="30"/>
          <w:highlight w:val="none"/>
        </w:rPr>
      </w:pPr>
      <w:r>
        <w:rPr>
          <w:rFonts w:hint="eastAsia" w:cs="宋体"/>
          <w:szCs w:val="30"/>
          <w:highlight w:val="none"/>
        </w:rPr>
        <w:fldChar w:fldCharType="end"/>
      </w:r>
    </w:p>
    <w:p>
      <w:pPr>
        <w:pStyle w:val="39"/>
        <w:adjustRightInd w:val="0"/>
        <w:snapToGrid w:val="0"/>
        <w:spacing w:line="360" w:lineRule="auto"/>
        <w:ind w:firstLine="2160" w:firstLineChars="675"/>
        <w:jc w:val="both"/>
        <w:rPr>
          <w:rFonts w:cs="宋体"/>
          <w:color w:val="000000"/>
          <w:sz w:val="32"/>
          <w:szCs w:val="32"/>
          <w:highlight w:val="none"/>
        </w:rPr>
      </w:pPr>
    </w:p>
    <w:p>
      <w:pPr>
        <w:adjustRightInd w:val="0"/>
        <w:snapToGrid w:val="0"/>
        <w:spacing w:line="360" w:lineRule="auto"/>
        <w:jc w:val="center"/>
        <w:outlineLvl w:val="0"/>
        <w:rPr>
          <w:rFonts w:ascii="宋体" w:hAnsi="宋体" w:cs="宋体"/>
          <w:b/>
          <w:sz w:val="32"/>
          <w:szCs w:val="32"/>
          <w:highlight w:val="none"/>
        </w:rPr>
        <w:sectPr>
          <w:headerReference r:id="rId3" w:type="default"/>
          <w:footerReference r:id="rId4" w:type="default"/>
          <w:pgSz w:w="11906" w:h="16838"/>
          <w:pgMar w:top="1440" w:right="1486" w:bottom="1440" w:left="1380" w:header="851" w:footer="992" w:gutter="0"/>
          <w:cols w:space="425" w:num="1"/>
          <w:docGrid w:type="lines" w:linePitch="312" w:charSpace="0"/>
        </w:sectPr>
      </w:pPr>
    </w:p>
    <w:p>
      <w:pPr>
        <w:pStyle w:val="3"/>
        <w:bidi w:val="0"/>
        <w:rPr>
          <w:highlight w:val="none"/>
        </w:rPr>
      </w:pPr>
      <w:bookmarkStart w:id="0" w:name="_Toc22844"/>
      <w:r>
        <w:rPr>
          <w:rFonts w:hint="eastAsia"/>
          <w:highlight w:val="none"/>
        </w:rPr>
        <w:t>第一部分  招标公告</w:t>
      </w:r>
      <w:bookmarkEnd w:id="0"/>
    </w:p>
    <w:p>
      <w:pPr>
        <w:pStyle w:val="40"/>
        <w:adjustRightInd w:val="0"/>
        <w:snapToGrid w:val="0"/>
        <w:spacing w:before="0" w:line="360" w:lineRule="auto"/>
        <w:ind w:firstLine="390" w:firstLineChars="185"/>
        <w:rPr>
          <w:color w:val="333333"/>
          <w:sz w:val="21"/>
          <w:szCs w:val="21"/>
          <w:highlight w:val="none"/>
        </w:rPr>
      </w:pPr>
      <w:bookmarkStart w:id="1" w:name="OLE_LINK1"/>
      <w:r>
        <w:rPr>
          <w:rFonts w:hint="eastAsia"/>
          <w:color w:val="333333"/>
          <w:sz w:val="21"/>
          <w:szCs w:val="21"/>
          <w:highlight w:val="none"/>
          <w:lang w:val="en-US" w:eastAsia="zh-CN"/>
        </w:rPr>
        <w:t> 汉阴县中医医院信息化建设项目招标项目潜在的投标人可在陕西省安康市公共资源交易平台自行下载获取招标文件，并于2021-07-08 10:30:00前递交投标文件</w:t>
      </w:r>
      <w:r>
        <w:rPr>
          <w:rFonts w:hint="eastAsia"/>
          <w:color w:val="333333"/>
          <w:sz w:val="21"/>
          <w:szCs w:val="21"/>
          <w:highlight w:val="none"/>
        </w:rPr>
        <w:t xml:space="preserve">。 </w:t>
      </w:r>
    </w:p>
    <w:p>
      <w:pPr>
        <w:pStyle w:val="40"/>
        <w:keepNext w:val="0"/>
        <w:keepLines w:val="0"/>
        <w:pageBreakBefore w:val="0"/>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一、项目基本情况：</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1、项目编号：SXKC2021-GK105</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2、项目名称：汉阴县中医医院信息化建设项目</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3、预算金额：3,887,300.00元</w:t>
      </w:r>
    </w:p>
    <w:p>
      <w:pPr>
        <w:pStyle w:val="7"/>
        <w:keepNext w:val="0"/>
        <w:keepLines w:val="0"/>
        <w:pageBreakBefore w:val="0"/>
        <w:kinsoku/>
        <w:wordWrap/>
        <w:overflowPunct/>
        <w:topLinePunct w:val="0"/>
        <w:autoSpaceDE/>
        <w:autoSpaceDN/>
        <w:bidi w:val="0"/>
        <w:adjustRightInd/>
        <w:snapToGrid/>
        <w:spacing w:line="46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4、最高限价：3,887,300.00元</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5、采购需求：汉阴县中医医院信息化建设项目，1批， 采购预算： 3,887,300.00元， 项目概况： 汉阴县中医医院信息化建设项目，具体内容详见招标文件“第四部分 采购内容及要求”， 简要技术要求、用途： 医院自用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6、合同履行期限：2021-07-20 00:00:00 至 2022-01-20 00:00:00（具体服务起止日期可随合同签订时间相应顺延）</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7、本项目是否接受联合体投标：否</w:t>
      </w:r>
    </w:p>
    <w:p>
      <w:pPr>
        <w:pStyle w:val="40"/>
        <w:keepNext w:val="0"/>
        <w:keepLines w:val="0"/>
        <w:pageBreakBefore w:val="0"/>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二、 投标人的资格要求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2、落实政府采购政策需满足的资格要求：依据《中华人民共和国政府采购法》和《中华人民共和国政府采购法实施条例》</w:t>
      </w:r>
      <w:bookmarkStart w:id="137" w:name="_GoBack"/>
      <w:bookmarkEnd w:id="137"/>
      <w:r>
        <w:rPr>
          <w:rFonts w:hint="eastAsia" w:ascii="宋体" w:hAnsi="宋体" w:eastAsia="宋体" w:cs="宋体"/>
          <w:color w:val="333333"/>
          <w:sz w:val="21"/>
          <w:szCs w:val="21"/>
          <w:highlight w:val="none"/>
        </w:rPr>
        <w:t>的有关规定，落实政府采购政策，详见招标文件。</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（1）财政部、工业和信息化部关于印发《政府采购促进中小企业发展管理办法》的通知</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财库〔2020〕46号</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（2） 《财政部 司法部关于政府采购支持监狱企业发展有关问题的通知》（财库〔2014〕68号）；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（3）《财政部、民政部、中国残疾人联合会关于促进残疾人就业政府采购政策的通知》财库〔2017〕141号；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（4）《国务院办公厅关于建立政府强制采购节能产品制度的通知》（国办发〔2007〕51号）；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（5）《节能产品政府采购实施意见》（财库[2004] 185号）；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（6）《环境标志产品政府采购实施的意见》（财库[2006]90号）；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（7）《财政部 国务院扶贫办关于运用政府采购政策支持脱贫攻坚的通知》（财库〔2019〕27号）；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sectPr>
          <w:headerReference r:id="rId5" w:type="default"/>
          <w:footerReference r:id="rId6" w:type="default"/>
          <w:pgSz w:w="11906" w:h="16838"/>
          <w:pgMar w:top="1644" w:right="1417" w:bottom="1417" w:left="1417" w:header="971" w:footer="752" w:gutter="0"/>
          <w:pgNumType w:start="1"/>
          <w:cols w:space="0" w:num="1"/>
          <w:docGrid w:type="lines" w:linePitch="313" w:charSpace="0"/>
        </w:sectPr>
      </w:pP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（8）《陕西省中小企业政府采购信用融资办法》（陕财办采〔2018〕23号）</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3、本项目的特定资格要求：</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（1）具有独立承担民事责任能力的法人、其他组织或自然人，并出具合法有效的营业执照或事业单位法人证书等国家规定的相关证明资料，自然人参与的提供其身份证明；</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（2）法定代表人授权书和被授权人的身份证及单位证明；法定代表人参加投标时，须提供本人身份证；</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（3）社会保障资金缴纳证明</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提供2020年至今已缴纳连续3个月的社会保障资金缴存单据或社保机构开具的社会保险参保缴费情况证明，依法不需要缴纳社会保障资金的单位应提供相关证明材料；</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（4）税收缴纳证明</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提供2020年至今已缴纳连续3个月的纳税证明或完税证明（纳税证明或完税证明上应有代收机构或税务机关的公章或业务章，成立时间至提交投标文件截止时间不足年的可提供成立后任意时段的税收证明），依法免税的单位应提供相关证明材料；</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（5）书面声明：参加本次政府采购活动前三年内在经营活动中没有重大违纪，以及未被列入失信被执行人、重大税收违法案件当事人名单、政府采购严重违法失信行为记录名单的书面声明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最终结果以开标现场在信用中国及中国政府采购网查询公示结果为准）；</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提供具有履行本合同所必需的设备和专业技术能力的证明，须附相关证明材料或书面声明；</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财务状况报告：提供2019、2020年的</w:t>
      </w:r>
      <w:r>
        <w:rPr>
          <w:rFonts w:hint="eastAsia" w:ascii="宋体" w:hAnsi="宋体" w:cs="宋体"/>
          <w:color w:val="333333"/>
          <w:sz w:val="21"/>
          <w:szCs w:val="21"/>
          <w:highlight w:val="none"/>
          <w:lang w:eastAsia="zh-CN"/>
        </w:rPr>
        <w:t>经审计的财务审计报告</w:t>
      </w:r>
      <w:r>
        <w:rPr>
          <w:rFonts w:hint="eastAsia" w:ascii="宋体" w:hAnsi="宋体" w:eastAsia="宋体" w:cs="宋体"/>
          <w:color w:val="333333"/>
          <w:sz w:val="21"/>
          <w:szCs w:val="21"/>
          <w:highlight w:val="none"/>
        </w:rPr>
        <w:t>（成立时间至提交投标文件截止时间不足年的可提供成立后任意时段的资产负债表）或开标前3个月内其基本开户银行出具的资信证明；</w:t>
      </w:r>
    </w:p>
    <w:p>
      <w:pPr>
        <w:pStyle w:val="10"/>
        <w:numPr>
          <w:ilvl w:val="0"/>
          <w:numId w:val="0"/>
        </w:numPr>
        <w:ind w:firstLine="420" w:firstLineChars="200"/>
        <w:rPr>
          <w:rFonts w:hint="eastAsia" w:ascii="宋体" w:hAnsi="宋体" w:eastAsia="宋体" w:cs="宋体"/>
          <w:color w:val="333333"/>
          <w:kern w:val="2"/>
          <w:sz w:val="21"/>
          <w:szCs w:val="21"/>
          <w:highlight w:val="none"/>
          <w:lang w:val="en-US" w:eastAsia="zh-CN" w:bidi="ar-SA"/>
        </w:rPr>
      </w:pPr>
      <w:r>
        <w:rPr>
          <w:rFonts w:hint="eastAsia" w:ascii="宋体" w:hAnsi="宋体" w:eastAsia="宋体" w:cs="宋体"/>
          <w:color w:val="333333"/>
          <w:kern w:val="2"/>
          <w:sz w:val="21"/>
          <w:szCs w:val="21"/>
          <w:highlight w:val="none"/>
          <w:lang w:val="en-US" w:eastAsia="zh-CN" w:bidi="ar-SA"/>
        </w:rPr>
        <w:t>（8）保证金缴纳凭证；</w:t>
      </w:r>
    </w:p>
    <w:p>
      <w:pPr>
        <w:pStyle w:val="40"/>
        <w:keepNext w:val="0"/>
        <w:keepLines w:val="0"/>
        <w:pageBreakBefore w:val="0"/>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三、 招标文件的获取方式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时间：即日起至2021-</w:t>
      </w:r>
      <w:r>
        <w:rPr>
          <w:rFonts w:hint="eastAsia" w:ascii="宋体" w:hAnsi="宋体" w:cs="宋体"/>
          <w:color w:val="333333"/>
          <w:sz w:val="21"/>
          <w:szCs w:val="21"/>
          <w:highlight w:val="none"/>
          <w:lang w:val="en-US" w:eastAsia="zh-CN"/>
        </w:rPr>
        <w:t>06</w:t>
      </w:r>
      <w:r>
        <w:rPr>
          <w:rFonts w:hint="eastAsia" w:ascii="宋体" w:hAnsi="宋体" w:eastAsia="宋体" w:cs="宋体"/>
          <w:color w:val="333333"/>
          <w:sz w:val="21"/>
          <w:szCs w:val="21"/>
          <w:highlight w:val="none"/>
        </w:rPr>
        <w:t>-</w:t>
      </w:r>
      <w:r>
        <w:rPr>
          <w:rFonts w:hint="eastAsia" w:ascii="宋体" w:hAnsi="宋体" w:cs="宋体"/>
          <w:color w:val="333333"/>
          <w:sz w:val="21"/>
          <w:szCs w:val="21"/>
          <w:highlight w:val="none"/>
          <w:lang w:val="en-US" w:eastAsia="zh-CN"/>
        </w:rPr>
        <w:t>22</w:t>
      </w:r>
      <w:r>
        <w:rPr>
          <w:rFonts w:hint="eastAsia" w:ascii="宋体" w:hAnsi="宋体" w:eastAsia="宋体" w:cs="宋体"/>
          <w:color w:val="333333"/>
          <w:sz w:val="21"/>
          <w:szCs w:val="21"/>
          <w:highlight w:val="none"/>
        </w:rPr>
        <w:t xml:space="preserve"> 17:00:00 止</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地点：陕西省安康市公共资源交易平台自行下载</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方式：现场购买/邮寄</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Style w:val="33"/>
          <w:rFonts w:hint="eastAsia" w:ascii="宋体" w:hAnsi="宋体" w:eastAsia="宋体" w:cs="宋体"/>
          <w:color w:val="auto"/>
          <w:sz w:val="21"/>
          <w:szCs w:val="21"/>
          <w:highlight w:val="none"/>
        </w:rPr>
      </w:pPr>
      <w:r>
        <w:rPr>
          <w:rFonts w:hint="eastAsia" w:ascii="宋体" w:hAnsi="宋体" w:eastAsia="宋体" w:cs="宋体"/>
          <w:sz w:val="21"/>
          <w:szCs w:val="21"/>
          <w:highlight w:val="none"/>
        </w:rPr>
        <w:t xml:space="preserve">售价： </w:t>
      </w:r>
      <w:r>
        <w:rPr>
          <w:rStyle w:val="33"/>
          <w:rFonts w:hint="eastAsia" w:ascii="宋体" w:hAnsi="宋体" w:eastAsia="宋体" w:cs="宋体"/>
          <w:color w:val="auto"/>
          <w:sz w:val="21"/>
          <w:szCs w:val="21"/>
          <w:highlight w:val="none"/>
        </w:rPr>
        <w:t xml:space="preserve">每套500元（人民币），售后不退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Style w:val="33"/>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注：1、供应商须登录陕西省安康市公共资源交易中心平台（http://ak.sxggzyjy.cn/），选择本项目点击“我要投标”，参与招标活动； 2、提示：供应商须在获取招标文件时限内登录陕西省安康市公共资源交易中心平台系统，直接下载（SXSZF版本）招标文件。逾期下载通道将关闭，未及时下载招标文件将会影响后续开评标活动。3、办理CA锁方式（仅供参考）：供应商初次使用交易平台，需前往陕西省数字证书认证中心股份有限公司办理 CA 锁，办理地址及咨询电话如下：西安市高新三路九号信息岗大厦一层 101室，咨询电话</w:t>
      </w:r>
      <w:r>
        <w:rPr>
          <w:rStyle w:val="33"/>
          <w:rFonts w:hint="eastAsia" w:ascii="宋体" w:hAnsi="宋体" w:cs="宋体"/>
          <w:color w:val="auto"/>
          <w:sz w:val="21"/>
          <w:szCs w:val="21"/>
          <w:highlight w:val="none"/>
          <w:lang w:eastAsia="zh-CN"/>
        </w:rPr>
        <w:t>：</w:t>
      </w:r>
      <w:r>
        <w:rPr>
          <w:rStyle w:val="33"/>
          <w:rFonts w:hint="eastAsia" w:ascii="宋体" w:hAnsi="宋体" w:eastAsia="宋体" w:cs="宋体"/>
          <w:color w:val="auto"/>
          <w:sz w:val="21"/>
          <w:szCs w:val="21"/>
          <w:highlight w:val="none"/>
        </w:rPr>
        <w:t>4006369888 ；西安市长安北路 14 号省体育公寓B 座一楼，咨询电话：029-88661241 ；西安市凤城九路海博广场A座 1707室，咨询电话</w:t>
      </w:r>
      <w:r>
        <w:rPr>
          <w:rStyle w:val="33"/>
          <w:rFonts w:hint="eastAsia" w:ascii="宋体" w:hAnsi="宋体" w:cs="宋体"/>
          <w:color w:val="auto"/>
          <w:sz w:val="21"/>
          <w:szCs w:val="21"/>
          <w:highlight w:val="none"/>
          <w:lang w:eastAsia="zh-CN"/>
        </w:rPr>
        <w:t>：</w:t>
      </w:r>
      <w:r>
        <w:rPr>
          <w:rStyle w:val="33"/>
          <w:rFonts w:hint="eastAsia" w:ascii="宋体" w:hAnsi="宋体" w:eastAsia="宋体" w:cs="宋体"/>
          <w:color w:val="auto"/>
          <w:sz w:val="21"/>
          <w:szCs w:val="21"/>
          <w:highlight w:val="none"/>
        </w:rPr>
        <w:t>029-89608985。</w:t>
      </w:r>
    </w:p>
    <w:p>
      <w:pPr>
        <w:pStyle w:val="40"/>
        <w:keepNext w:val="0"/>
        <w:keepLines w:val="0"/>
        <w:pageBreakBefore w:val="0"/>
        <w:numPr>
          <w:ilvl w:val="0"/>
          <w:numId w:val="0"/>
        </w:numPr>
        <w:kinsoku/>
        <w:wordWrap/>
        <w:overflowPunct/>
        <w:topLinePunct w:val="0"/>
        <w:autoSpaceDE/>
        <w:autoSpaceDN/>
        <w:bidi w:val="0"/>
        <w:adjustRightInd/>
        <w:snapToGrid/>
        <w:spacing w:before="0" w:line="460" w:lineRule="exact"/>
        <w:ind w:firstLine="420" w:firstLineChars="200"/>
        <w:textAlignment w:val="auto"/>
        <w:rPr>
          <w:rStyle w:val="33"/>
          <w:rFonts w:hint="eastAsia" w:ascii="宋体" w:hAnsi="宋体" w:eastAsia="宋体" w:cs="宋体"/>
          <w:color w:val="auto"/>
          <w:sz w:val="21"/>
          <w:szCs w:val="21"/>
          <w:highlight w:val="none"/>
        </w:rPr>
      </w:pPr>
      <w:r>
        <w:rPr>
          <w:rStyle w:val="33"/>
          <w:rFonts w:hint="eastAsia" w:ascii="宋体" w:hAnsi="宋体" w:eastAsia="宋体" w:cs="宋体"/>
          <w:b w:val="0"/>
          <w:bCs w:val="0"/>
          <w:color w:val="auto"/>
          <w:kern w:val="2"/>
          <w:sz w:val="21"/>
          <w:szCs w:val="21"/>
          <w:highlight w:val="none"/>
          <w:lang w:val="en-US" w:eastAsia="zh-CN"/>
        </w:rPr>
        <w:t>2、</w:t>
      </w:r>
      <w:r>
        <w:rPr>
          <w:rStyle w:val="33"/>
          <w:rFonts w:hint="eastAsia" w:ascii="宋体" w:hAnsi="宋体" w:eastAsia="宋体" w:cs="宋体"/>
          <w:b w:val="0"/>
          <w:bCs w:val="0"/>
          <w:color w:val="auto"/>
          <w:kern w:val="2"/>
          <w:sz w:val="21"/>
          <w:szCs w:val="21"/>
          <w:highlight w:val="none"/>
        </w:rPr>
        <w:t>供应商还需登录陕西坤驰项目管理咨询有限公司官网（http://www.sxkczb.com/）在供应商服务系统免费注册、登记（若需纸质采购文件，开标前在招标代理机构领取）提示：供应商报名须上传在安康市公共资源交易平台报名的投标回执确认函、单位介绍信以及身份证复印件，以上都均须加盖单位公章。请供应商考虑完成在线注册、审核所需的时间成本，确保在招标文件发售截止时间前成功登记。未经招标代理公司确认或缴费确认的，属于无效报名。如有操作问题，请登录陕西坤驰项目管理咨询有限公司官网下载使用手册或拨打029-88621616转607咨询。</w:t>
      </w:r>
    </w:p>
    <w:p>
      <w:pPr>
        <w:pStyle w:val="40"/>
        <w:keepNext w:val="0"/>
        <w:keepLines w:val="0"/>
        <w:pageBreakBefore w:val="0"/>
        <w:numPr>
          <w:ilvl w:val="0"/>
          <w:numId w:val="0"/>
        </w:numPr>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四、 投标文件递交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截止时间： 2021- </w:t>
      </w:r>
      <w:r>
        <w:rPr>
          <w:rFonts w:hint="eastAsia" w:ascii="宋体" w:hAnsi="宋体" w:cs="宋体"/>
          <w:color w:val="333333"/>
          <w:sz w:val="21"/>
          <w:szCs w:val="21"/>
          <w:highlight w:val="none"/>
          <w:lang w:val="en-US" w:eastAsia="zh-CN"/>
        </w:rPr>
        <w:t>07</w:t>
      </w:r>
      <w:r>
        <w:rPr>
          <w:rFonts w:hint="eastAsia" w:ascii="宋体" w:hAnsi="宋体" w:eastAsia="宋体" w:cs="宋体"/>
          <w:color w:val="333333"/>
          <w:sz w:val="21"/>
          <w:szCs w:val="21"/>
          <w:highlight w:val="none"/>
        </w:rPr>
        <w:t xml:space="preserve"> -</w:t>
      </w:r>
      <w:r>
        <w:rPr>
          <w:rFonts w:hint="eastAsia" w:ascii="宋体" w:hAnsi="宋体" w:cs="宋体"/>
          <w:color w:val="333333"/>
          <w:sz w:val="21"/>
          <w:szCs w:val="21"/>
          <w:highlight w:val="none"/>
          <w:lang w:val="en-US" w:eastAsia="zh-CN"/>
        </w:rPr>
        <w:t>08</w:t>
      </w:r>
      <w:r>
        <w:rPr>
          <w:rFonts w:hint="eastAsia" w:ascii="宋体" w:hAnsi="宋体" w:eastAsia="宋体" w:cs="宋体"/>
          <w:color w:val="333333"/>
          <w:sz w:val="21"/>
          <w:szCs w:val="21"/>
          <w:highlight w:val="none"/>
        </w:rPr>
        <w:t xml:space="preserve"> </w:t>
      </w:r>
      <w:r>
        <w:rPr>
          <w:rFonts w:hint="eastAsia" w:ascii="宋体" w:hAnsi="宋体" w:cs="宋体"/>
          <w:color w:val="333333"/>
          <w:sz w:val="21"/>
          <w:szCs w:val="21"/>
          <w:highlight w:val="none"/>
          <w:lang w:eastAsia="zh-CN"/>
        </w:rPr>
        <w:t>10:30:00</w:t>
      </w:r>
      <w:r>
        <w:rPr>
          <w:rFonts w:hint="eastAsia" w:ascii="宋体" w:hAnsi="宋体" w:eastAsia="宋体" w:cs="宋体"/>
          <w:color w:val="333333"/>
          <w:sz w:val="21"/>
          <w:szCs w:val="21"/>
          <w:highlight w:val="none"/>
        </w:rPr>
        <w:t xml:space="preserve">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地点：</w:t>
      </w:r>
      <w:r>
        <w:rPr>
          <w:rFonts w:hint="eastAsia" w:ascii="宋体" w:hAnsi="宋体" w:eastAsia="宋体" w:cs="宋体"/>
          <w:color w:val="333333"/>
          <w:sz w:val="21"/>
          <w:szCs w:val="21"/>
          <w:highlight w:val="none"/>
          <w:lang w:val="en-US" w:eastAsia="zh-CN"/>
        </w:rPr>
        <w:t>安康市公共资源交易中心301第二开标室</w:t>
      </w:r>
    </w:p>
    <w:p>
      <w:pPr>
        <w:pStyle w:val="40"/>
        <w:keepNext w:val="0"/>
        <w:keepLines w:val="0"/>
        <w:pageBreakBefore w:val="0"/>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五、公告期限</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自本公告发布之日起5个工作日。</w:t>
      </w:r>
    </w:p>
    <w:p>
      <w:pPr>
        <w:pStyle w:val="40"/>
        <w:keepNext w:val="0"/>
        <w:keepLines w:val="0"/>
        <w:pageBreakBefore w:val="0"/>
        <w:numPr>
          <w:ilvl w:val="0"/>
          <w:numId w:val="2"/>
        </w:numPr>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其他补充事宜</w:t>
      </w:r>
    </w:p>
    <w:p>
      <w:pPr>
        <w:pStyle w:val="40"/>
        <w:keepNext w:val="0"/>
        <w:keepLines w:val="0"/>
        <w:pageBreakBefore w:val="0"/>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   </w:t>
      </w:r>
      <w:r>
        <w:rPr>
          <w:rFonts w:hint="eastAsia" w:ascii="宋体" w:hAnsi="宋体" w:eastAsia="宋体" w:cs="宋体"/>
          <w:b w:val="0"/>
          <w:bCs w:val="0"/>
          <w:color w:val="333333"/>
          <w:sz w:val="21"/>
          <w:szCs w:val="21"/>
          <w:highlight w:val="none"/>
        </w:rPr>
        <w:t xml:space="preserve"> /</w:t>
      </w:r>
    </w:p>
    <w:p>
      <w:pPr>
        <w:pStyle w:val="40"/>
        <w:keepNext w:val="0"/>
        <w:keepLines w:val="0"/>
        <w:pageBreakBefore w:val="0"/>
        <w:kinsoku/>
        <w:wordWrap/>
        <w:overflowPunct/>
        <w:topLinePunct w:val="0"/>
        <w:autoSpaceDE/>
        <w:autoSpaceDN/>
        <w:bidi w:val="0"/>
        <w:adjustRightInd/>
        <w:snapToGrid/>
        <w:spacing w:before="0" w:line="460" w:lineRule="exact"/>
        <w:ind w:firstLine="422"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七、对本次招标提出询问，请按以下方式联系。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1、采购人信息：汉阴县卫生健康局</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联系人：沈老师</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联系地址：汉阴县泰和路中段</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联系电话：0915-5212004</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2、项目联系方式</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项目联系人：王锐刚</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电 话：029-88621616转607</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传 真：029-88621616</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3、采购代理机构信息</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ascii="宋体" w:hAnsi="宋体" w:cs="宋体"/>
          <w:color w:val="333333"/>
          <w:szCs w:val="21"/>
          <w:highlight w:val="none"/>
        </w:rPr>
      </w:pPr>
      <w:r>
        <w:rPr>
          <w:rFonts w:hint="eastAsia" w:ascii="宋体" w:hAnsi="宋体" w:eastAsia="宋体" w:cs="宋体"/>
          <w:color w:val="333333"/>
          <w:sz w:val="21"/>
          <w:szCs w:val="21"/>
          <w:highlight w:val="none"/>
        </w:rPr>
        <w:t>名称：陕西坤驰项目管理咨询有限公司</w:t>
      </w:r>
      <w:bookmarkEnd w:id="1"/>
    </w:p>
    <w:p>
      <w:pPr>
        <w:adjustRightInd w:val="0"/>
        <w:snapToGrid w:val="0"/>
        <w:spacing w:line="360" w:lineRule="auto"/>
        <w:ind w:firstLine="315" w:firstLineChars="150"/>
        <w:jc w:val="right"/>
        <w:rPr>
          <w:rFonts w:ascii="宋体" w:hAnsi="宋体" w:cs="宋体"/>
          <w:color w:val="333333"/>
          <w:szCs w:val="21"/>
          <w:highlight w:val="none"/>
        </w:rPr>
      </w:pPr>
      <w:r>
        <w:rPr>
          <w:rFonts w:hint="eastAsia" w:ascii="宋体" w:hAnsi="宋体" w:cs="宋体"/>
          <w:color w:val="333333"/>
          <w:szCs w:val="21"/>
          <w:highlight w:val="none"/>
        </w:rPr>
        <w:t>陕西坤驰项目管理咨询有限公司</w:t>
      </w:r>
    </w:p>
    <w:p>
      <w:pPr>
        <w:adjustRightInd w:val="0"/>
        <w:snapToGrid w:val="0"/>
        <w:spacing w:line="360" w:lineRule="auto"/>
        <w:ind w:firstLine="315" w:firstLineChars="150"/>
        <w:jc w:val="right"/>
        <w:rPr>
          <w:rFonts w:hint="eastAsia" w:ascii="宋体" w:hAnsi="宋体" w:cs="宋体"/>
          <w:color w:val="333333"/>
          <w:szCs w:val="21"/>
          <w:highlight w:val="none"/>
        </w:rPr>
      </w:pPr>
      <w:r>
        <w:rPr>
          <w:rFonts w:hint="eastAsia" w:ascii="宋体" w:hAnsi="宋体" w:cs="宋体"/>
          <w:color w:val="333333"/>
          <w:szCs w:val="21"/>
          <w:highlight w:val="none"/>
        </w:rPr>
        <w:t>2021年</w:t>
      </w:r>
      <w:r>
        <w:rPr>
          <w:rFonts w:hint="eastAsia" w:ascii="宋体" w:hAnsi="宋体" w:cs="宋体"/>
          <w:color w:val="333333"/>
          <w:szCs w:val="21"/>
          <w:highlight w:val="none"/>
          <w:lang w:val="en-US" w:eastAsia="zh-CN"/>
        </w:rPr>
        <w:t>06</w:t>
      </w:r>
      <w:r>
        <w:rPr>
          <w:rFonts w:hint="eastAsia" w:ascii="宋体" w:hAnsi="宋体" w:cs="宋体"/>
          <w:color w:val="333333"/>
          <w:szCs w:val="21"/>
          <w:highlight w:val="none"/>
        </w:rPr>
        <w:t>月</w:t>
      </w:r>
      <w:r>
        <w:rPr>
          <w:rFonts w:hint="eastAsia" w:ascii="宋体" w:hAnsi="宋体" w:cs="宋体"/>
          <w:color w:val="333333"/>
          <w:szCs w:val="21"/>
          <w:highlight w:val="none"/>
          <w:lang w:val="en-US" w:eastAsia="zh-CN"/>
        </w:rPr>
        <w:t>15</w:t>
      </w:r>
      <w:r>
        <w:rPr>
          <w:rFonts w:hint="eastAsia" w:ascii="宋体" w:hAnsi="宋体" w:cs="宋体"/>
          <w:color w:val="333333"/>
          <w:szCs w:val="21"/>
          <w:highlight w:val="none"/>
        </w:rPr>
        <w:t>日</w:t>
      </w:r>
    </w:p>
    <w:p>
      <w:pPr>
        <w:rPr>
          <w:rFonts w:ascii="宋体" w:hAnsi="宋体" w:cs="宋体"/>
          <w:b/>
          <w:sz w:val="32"/>
          <w:szCs w:val="32"/>
          <w:highlight w:val="none"/>
        </w:rPr>
      </w:pPr>
      <w:bookmarkStart w:id="2" w:name="_Toc28969"/>
      <w:r>
        <w:rPr>
          <w:rFonts w:hint="eastAsia" w:ascii="宋体" w:hAnsi="宋体" w:cs="宋体"/>
          <w:b/>
          <w:sz w:val="32"/>
          <w:szCs w:val="32"/>
          <w:highlight w:val="none"/>
        </w:rPr>
        <w:br w:type="page"/>
      </w:r>
    </w:p>
    <w:p>
      <w:pPr>
        <w:pStyle w:val="3"/>
        <w:bidi w:val="0"/>
        <w:rPr>
          <w:highlight w:val="none"/>
        </w:rPr>
      </w:pPr>
      <w:r>
        <w:rPr>
          <w:rFonts w:hint="eastAsia"/>
          <w:highlight w:val="none"/>
        </w:rPr>
        <w:t>第二部分  供应商须知</w:t>
      </w:r>
      <w:bookmarkEnd w:id="2"/>
    </w:p>
    <w:p>
      <w:pPr>
        <w:pStyle w:val="13"/>
        <w:adjustRightInd w:val="0"/>
        <w:snapToGrid w:val="0"/>
        <w:spacing w:line="360" w:lineRule="auto"/>
        <w:jc w:val="center"/>
        <w:rPr>
          <w:rFonts w:hAnsi="宋体" w:cs="宋体"/>
          <w:b/>
          <w:bCs/>
          <w:sz w:val="24"/>
          <w:szCs w:val="24"/>
          <w:highlight w:val="none"/>
        </w:rPr>
      </w:pPr>
      <w:r>
        <w:rPr>
          <w:rFonts w:hint="eastAsia" w:hAnsi="宋体" w:cs="宋体"/>
          <w:b/>
          <w:bCs/>
          <w:sz w:val="24"/>
          <w:szCs w:val="24"/>
          <w:highlight w:val="none"/>
        </w:rPr>
        <w:t>供应商须知前附表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14"/>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项号</w:t>
            </w:r>
          </w:p>
        </w:tc>
        <w:tc>
          <w:tcPr>
            <w:tcW w:w="1963" w:type="dxa"/>
            <w:vAlign w:val="center"/>
          </w:tcPr>
          <w:p>
            <w:pPr>
              <w:adjustRightInd w:val="0"/>
              <w:snapToGrid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    容</w:t>
            </w:r>
          </w:p>
        </w:tc>
        <w:tc>
          <w:tcPr>
            <w:tcW w:w="6675" w:type="dxa"/>
            <w:vAlign w:val="center"/>
          </w:tcPr>
          <w:p>
            <w:pPr>
              <w:tabs>
                <w:tab w:val="left" w:pos="1180"/>
              </w:tabs>
              <w:adjustRightInd w:val="0"/>
              <w:snapToGrid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汉阴县中医医院信息化建设项目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SXKC2021-GK105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采购内容及预算</w:t>
            </w:r>
          </w:p>
        </w:tc>
        <w:tc>
          <w:tcPr>
            <w:tcW w:w="6675" w:type="dxa"/>
            <w:vAlign w:val="center"/>
          </w:tcPr>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汉阴县中医医院信息化建设项目，具体内容详见招标文件“第四部分 采购内容及要求”。本项目预算费用约为人民币3887300.00元</w:t>
            </w:r>
          </w:p>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备注：供应商报价不得超过采购预算，否则按照废标无效处理。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交货期限及安装</w:t>
            </w:r>
          </w:p>
        </w:tc>
        <w:tc>
          <w:tcPr>
            <w:tcW w:w="6675" w:type="dxa"/>
            <w:vAlign w:val="center"/>
          </w:tcPr>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自合同签订之日起</w:t>
            </w:r>
            <w:r>
              <w:rPr>
                <w:rFonts w:hint="eastAsia" w:ascii="宋体" w:hAnsi="宋体" w:eastAsia="宋体" w:cs="宋体"/>
                <w:sz w:val="21"/>
                <w:szCs w:val="21"/>
                <w:highlight w:val="none"/>
                <w:u w:val="single"/>
              </w:rPr>
              <w:t xml:space="preserve">  180  </w:t>
            </w:r>
            <w:r>
              <w:rPr>
                <w:rFonts w:hint="eastAsia" w:ascii="宋体" w:hAnsi="宋体" w:eastAsia="宋体" w:cs="宋体"/>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质保期</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自验收合格之日起硬件质保 3 年，软件质保 1 年，免费维护期间软件免费升级。并提供厂商针对本项目的售后服务承诺函。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963" w:type="dxa"/>
            <w:vAlign w:val="center"/>
          </w:tcPr>
          <w:p>
            <w:pPr>
              <w:adjustRightInd w:val="0"/>
              <w:snapToGri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投标有效期</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供应商资格要求</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（1）具有独立承担民事责任能力的法人、其他组织或自然人，并出具合法有效的营业执照或事业单位法人证书等国家规定的相关证明资料，自然人参与的提供其身份证明；</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（2）法定代表人授权书和被授权人的身份证及单位证明；法定代表人参加投标时，须提供本人身份证；</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（3）社会保障资金缴纳证明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提供2020年至今已缴纳连续3个月的社会保障资金缴存单据或社保机构开具的社会保险参保缴费情况证明，依法不需要缴纳社会保障资金的单位应提供相关证明材料；</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（4）税收缴纳证明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提供2020年至今已缴纳连续3个月的纳税证明或完税证明（纳税证明或完税证明上应有代收机构或税务机关的公章或业务章，成立时间至提交投标文件截止时间不足年的可提供成立后任意时段的税收证明），依法免税的单位应提供相关证明材料；</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最终结果以开标现场在信用中国及中国政府采购网查询公示结果为准）；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提供具有履行本合同所必需的设备和专业技术能力的证明，须附相关证明材料或书面声明；</w:t>
            </w:r>
          </w:p>
          <w:p>
            <w:pPr>
              <w:adjustRightInd w:val="0"/>
              <w:snapToGrid w:val="0"/>
              <w:spacing w:line="240"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财务状况报告：提供2019、2020年的</w:t>
            </w:r>
            <w:r>
              <w:rPr>
                <w:rFonts w:hint="eastAsia" w:ascii="宋体" w:hAnsi="宋体" w:eastAsia="宋体" w:cs="宋体"/>
                <w:sz w:val="21"/>
                <w:szCs w:val="21"/>
                <w:highlight w:val="none"/>
                <w:lang w:eastAsia="zh-CN"/>
              </w:rPr>
              <w:t>经审计的财务审计报告</w:t>
            </w:r>
            <w:r>
              <w:rPr>
                <w:rFonts w:hint="eastAsia" w:ascii="宋体" w:hAnsi="宋体" w:eastAsia="宋体" w:cs="宋体"/>
                <w:sz w:val="21"/>
                <w:szCs w:val="21"/>
                <w:highlight w:val="none"/>
              </w:rPr>
              <w:t>（成立时间至提交投标文件截止时间不足年的可提供成立后任意时段的资产负债表）或开标前3个月内其基本开户银行出具的资信证明；</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纸质版：正本（资格、商务技术）一份，副本（资格、商务技术）一份。</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电子文档：两份（word版投标文件、投标文件（资格。商务技术）正本签字盖章后的PDF格式扫描件）。</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电子化投标文件：根据招标文件要求上传至陕西省安康市公共资源交易中心平台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投标文件递交地点及截止时间</w:t>
            </w:r>
          </w:p>
        </w:tc>
        <w:tc>
          <w:tcPr>
            <w:tcW w:w="6675" w:type="dxa"/>
            <w:vAlign w:val="center"/>
          </w:tcPr>
          <w:p>
            <w:pPr>
              <w:tabs>
                <w:tab w:val="left" w:pos="1180"/>
              </w:tabs>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截止时间：2021-</w:t>
            </w:r>
            <w:r>
              <w:rPr>
                <w:rFonts w:hint="eastAsia" w:ascii="宋体" w:hAnsi="宋体" w:cs="宋体"/>
                <w:sz w:val="21"/>
                <w:szCs w:val="21"/>
                <w:highlight w:val="none"/>
                <w:u w:val="single"/>
                <w:lang w:val="en-US" w:eastAsia="zh-CN"/>
              </w:rPr>
              <w:t>07</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08</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30</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00</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安康市公共资源交易中心301第二开标室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 标</w:t>
            </w:r>
          </w:p>
        </w:tc>
        <w:tc>
          <w:tcPr>
            <w:tcW w:w="6675" w:type="dxa"/>
            <w:vAlign w:val="center"/>
          </w:tcPr>
          <w:p>
            <w:pPr>
              <w:tabs>
                <w:tab w:val="left" w:pos="1180"/>
              </w:tabs>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截止时间：2021-</w:t>
            </w:r>
            <w:r>
              <w:rPr>
                <w:rFonts w:hint="eastAsia" w:ascii="宋体" w:hAnsi="宋体" w:cs="宋体"/>
                <w:sz w:val="21"/>
                <w:szCs w:val="21"/>
                <w:highlight w:val="none"/>
                <w:u w:val="single"/>
                <w:lang w:val="en-US" w:eastAsia="zh-CN"/>
              </w:rPr>
              <w:t>07</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08</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30</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00</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安康市公共资源交易中心301第二开标室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1、结算单位：采购人结算，在付款前必须开具等额发票给采购人。</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2、付款方式</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（1）硬件安装验收合格试运行1个月内，支付合同中硬件部分总金额的90%；</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（2）软件安装验收合格试运行1个月，支付合同中软件部分总金额的60%，余下30%两年内付清。</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（3）剩余的10 %作为质保金，质保期满三年后1个月内，一次付清。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开标现场需携带</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加密锁（主锁）进行现场解密；投标文件正本（资格、商务技术）一份，副本（资格、商务技术）一份；电子投标文件：两份（word版投标文件、投标文件（资格。商务技术）正本签字盖章后的PDF格式扫描件）。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963"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评标委员会构成：5人。</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其中采购人代表1人，专业专家4人。</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评标专家确定方式：陕西省政府采购网专家管理系统随机抽取。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中标公告</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公告媒体：陕西省政府采购网、安康市公共资源交易中心网</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投标文件制作及规定</w:t>
            </w: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1、本项目采用电子化投标与纸质响应文件并行的方式。投标人须使用数字认证证书对电子化响应文件进行签章、加密、递交及开标时解密等相关招投标事宜。</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2、编制电子投标文件时，应使用最新发布的电子招标文件及专用制作工具进行编制。并使用数字认证证书（CA锁）对电子投标文件进行签署、加密、递交及开标时解密等相关操作。</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①电子招标文件下载</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投标人登录全国公共资源交易平台（陕西省）网站[电子交易平台</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企业端]后，在[我的项目]中点击“项目流程</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交易文件下载”下载电子招标文件（*.SXSZF）；</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注意：该项目如有变更文件，则应点击“项目流程</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答疑文件下载”下载更新后的电子招标文件（*.SXSCF），使用旧版电子招标文件制作的电子投标文件，系统将拒绝接收。</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②电子招标文件需要使用专用软件打开、浏览</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投标人登录全国公共资源交易平台（陕西省）网站[服务指南</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下载专区]免费下载《陕西省公共资源交易平台政府采购电子标书制作工具</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V8.0.0.2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》，并升级至最新版本，使用该客户端可以打开电子招标文件。软件操作手册详见全国公共资源交易平台（陕西省）网站[服务指南</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③制作电子投标文件</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电子投标文件同样需要使用上述软件进行编制。在编制过程中，如有技术性问题，请先翻阅操作手册或致电软件开发商，技术支持热线：4009280095、4009980000；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adjustRightInd w:val="0"/>
              <w:snapToGrid w:val="0"/>
              <w:spacing w:line="240" w:lineRule="auto"/>
              <w:ind w:right="-358"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963" w:type="dxa"/>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特殊情形下的应急处置</w:t>
            </w:r>
          </w:p>
          <w:p>
            <w:pPr>
              <w:adjustRightInd w:val="0"/>
              <w:snapToGrid w:val="0"/>
              <w:spacing w:line="240" w:lineRule="auto"/>
              <w:jc w:val="center"/>
              <w:rPr>
                <w:rFonts w:hint="eastAsia" w:ascii="宋体" w:hAnsi="宋体" w:eastAsia="宋体" w:cs="宋体"/>
                <w:sz w:val="21"/>
                <w:szCs w:val="21"/>
                <w:highlight w:val="none"/>
              </w:rPr>
            </w:pPr>
          </w:p>
        </w:tc>
        <w:tc>
          <w:tcPr>
            <w:tcW w:w="6675"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在开标、评审过程中，如因停电、断网、电子化系统故障等特殊原因导致电子化</w:t>
            </w:r>
            <w:r>
              <w:rPr>
                <w:rFonts w:hint="eastAsia" w:ascii="宋体" w:hAnsi="宋体" w:cs="宋体"/>
                <w:sz w:val="21"/>
                <w:szCs w:val="21"/>
                <w:highlight w:val="none"/>
                <w:lang w:eastAsia="zh-CN"/>
              </w:rPr>
              <w:t>开标</w:t>
            </w:r>
            <w:r>
              <w:rPr>
                <w:rFonts w:hint="eastAsia" w:ascii="宋体" w:hAnsi="宋体" w:eastAsia="宋体" w:cs="宋体"/>
                <w:sz w:val="21"/>
                <w:szCs w:val="21"/>
                <w:highlight w:val="none"/>
              </w:rPr>
              <w:t>、评审无法正常进行时，将视响应文件解密情况特殊处理。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1、开标时响应文件未解密的，将另行确定时间继续完成开标程序；</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2、开标后响应文件已解密且评审结论已形成的，待特殊情况排除后， 继续完成评审活动；</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3、开标后响应文件已解密但评审结论未形成的，将使用纸质版响应文件进行线下评审。</w:t>
            </w:r>
          </w:p>
        </w:tc>
      </w:tr>
    </w:tbl>
    <w:p>
      <w:pPr>
        <w:adjustRightInd w:val="0"/>
        <w:snapToGrid w:val="0"/>
        <w:spacing w:line="360" w:lineRule="auto"/>
        <w:jc w:val="center"/>
        <w:outlineLvl w:val="1"/>
        <w:rPr>
          <w:rFonts w:ascii="宋体" w:hAnsi="宋体" w:cs="宋体"/>
          <w:b/>
          <w:bCs/>
          <w:sz w:val="24"/>
          <w:szCs w:val="24"/>
          <w:highlight w:val="none"/>
        </w:rPr>
      </w:pPr>
      <w:r>
        <w:rPr>
          <w:rFonts w:hint="eastAsia" w:ascii="宋体" w:hAnsi="宋体" w:cs="宋体"/>
          <w:b/>
          <w:bCs/>
          <w:sz w:val="18"/>
          <w:szCs w:val="18"/>
          <w:highlight w:val="none"/>
        </w:rPr>
        <w:br w:type="page"/>
      </w:r>
      <w:bookmarkStart w:id="3" w:name="_Toc19323"/>
      <w:bookmarkStart w:id="4" w:name="_Toc25631"/>
      <w:r>
        <w:rPr>
          <w:rStyle w:val="52"/>
          <w:rFonts w:hint="eastAsia"/>
          <w:highlight w:val="none"/>
        </w:rPr>
        <w:t>A  说明</w:t>
      </w:r>
      <w:bookmarkEnd w:id="3"/>
      <w:bookmarkEnd w:id="4"/>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1.1定义及解释</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 采购人：汉阴县卫生健康局。</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 供应商：是指响应招标、参加投标竞争的法人或者其他组织或自然人。</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1.1.3评标委员会：是指按照《中华人民共和国政府采购法</w:t>
      </w:r>
      <w:r>
        <w:rPr>
          <w:rFonts w:hint="eastAsia" w:ascii="宋体" w:hAnsi="宋体" w:cs="宋体"/>
          <w:bCs/>
          <w:szCs w:val="21"/>
          <w:highlight w:val="none"/>
          <w:lang w:eastAsia="zh-CN"/>
        </w:rPr>
        <w:t>》《</w:t>
      </w:r>
      <w:r>
        <w:rPr>
          <w:rFonts w:hint="eastAsia" w:ascii="宋体" w:hAnsi="宋体" w:cs="宋体"/>
          <w:bCs/>
          <w:szCs w:val="21"/>
          <w:highlight w:val="none"/>
        </w:rPr>
        <w:t>中华人民共和国政府采购法实施条例》和《评标委员会和评标方法暂行规定》的规定组建的专门负责本次招标的评标工作的临时机构。</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1.1.4日期：指公历日。</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1.1.5招标文件中所规定的“书面形式”，是指任何手写的、打印或印刷的通讯，包括电报和传真发送。</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szCs w:val="21"/>
          <w:highlight w:val="none"/>
        </w:rPr>
        <w:t>1</w:t>
      </w:r>
      <w:r>
        <w:rPr>
          <w:rFonts w:hint="eastAsia" w:ascii="宋体" w:hAnsi="宋体" w:cs="宋体"/>
          <w:bCs/>
          <w:szCs w:val="21"/>
          <w:highlight w:val="none"/>
        </w:rPr>
        <w:t>.</w:t>
      </w:r>
      <w:r>
        <w:rPr>
          <w:rFonts w:hint="eastAsia" w:ascii="宋体" w:hAnsi="宋体" w:cs="宋体"/>
          <w:szCs w:val="21"/>
          <w:highlight w:val="none"/>
        </w:rPr>
        <w:t>1</w:t>
      </w:r>
      <w:r>
        <w:rPr>
          <w:rFonts w:hint="eastAsia" w:ascii="宋体" w:hAnsi="宋体" w:cs="宋体"/>
          <w:bCs/>
          <w:szCs w:val="21"/>
          <w:highlight w:val="none"/>
        </w:rPr>
        <w:t>.</w:t>
      </w:r>
      <w:r>
        <w:rPr>
          <w:rFonts w:hint="eastAsia" w:ascii="宋体" w:hAnsi="宋体" w:cs="宋体"/>
          <w:szCs w:val="21"/>
          <w:highlight w:val="none"/>
        </w:rPr>
        <w:t>6本招标文件适用于采购方在招标范围中所述项目的货物采购。</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2.合格的供应商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2.1符合《中华人民共和国政府采购法》第二十二条规定；</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2.2中华人民共和国境内注册</w:t>
      </w:r>
      <w:r>
        <w:rPr>
          <w:rFonts w:hint="eastAsia" w:ascii="宋体" w:hAnsi="宋体" w:cs="宋体"/>
          <w:szCs w:val="21"/>
          <w:highlight w:val="none"/>
          <w:lang w:eastAsia="zh-CN"/>
        </w:rPr>
        <w:t>，</w:t>
      </w:r>
      <w:r>
        <w:rPr>
          <w:rFonts w:hint="eastAsia" w:ascii="宋体" w:hAnsi="宋体" w:cs="宋体"/>
          <w:szCs w:val="21"/>
          <w:highlight w:val="none"/>
        </w:rPr>
        <w:t>能够独立承担民事责任的法人、其他组织或自然人。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2.3通过“信用中国”网站</w:t>
      </w:r>
      <w:r>
        <w:rPr>
          <w:rFonts w:hint="eastAsia" w:ascii="宋体" w:hAnsi="宋体" w:cs="宋体"/>
          <w:szCs w:val="21"/>
          <w:highlight w:val="none"/>
          <w:lang w:eastAsia="zh-CN"/>
        </w:rPr>
        <w:t>（</w:t>
      </w:r>
      <w:r>
        <w:rPr>
          <w:rFonts w:hint="eastAsia" w:ascii="宋体" w:hAnsi="宋体" w:cs="宋体"/>
          <w:szCs w:val="21"/>
          <w:highlight w:val="none"/>
        </w:rPr>
        <w:t>www.creditchina.gov.cn</w:t>
      </w:r>
      <w:r>
        <w:rPr>
          <w:rFonts w:hint="eastAsia" w:ascii="宋体" w:hAnsi="宋体" w:cs="宋体"/>
          <w:szCs w:val="21"/>
          <w:highlight w:val="none"/>
          <w:lang w:eastAsia="zh-CN"/>
        </w:rPr>
        <w:t>）</w:t>
      </w:r>
      <w:r>
        <w:rPr>
          <w:rFonts w:hint="eastAsia" w:ascii="宋体" w:hAnsi="宋体" w:cs="宋体"/>
          <w:szCs w:val="21"/>
          <w:highlight w:val="none"/>
        </w:rPr>
        <w:t>、中国政府采购网</w:t>
      </w:r>
      <w:r>
        <w:rPr>
          <w:rFonts w:hint="eastAsia" w:ascii="宋体" w:hAnsi="宋体" w:cs="宋体"/>
          <w:szCs w:val="21"/>
          <w:highlight w:val="none"/>
          <w:lang w:eastAsia="zh-CN"/>
        </w:rPr>
        <w:t>（</w:t>
      </w:r>
      <w:r>
        <w:rPr>
          <w:rFonts w:hint="eastAsia" w:ascii="宋体" w:hAnsi="宋体" w:cs="宋体"/>
          <w:szCs w:val="21"/>
          <w:highlight w:val="none"/>
        </w:rPr>
        <w:t>www.ccgp.gov.cn</w:t>
      </w:r>
      <w:r>
        <w:rPr>
          <w:rFonts w:hint="eastAsia" w:ascii="宋体" w:hAnsi="宋体" w:cs="宋体"/>
          <w:szCs w:val="21"/>
          <w:highlight w:val="none"/>
          <w:lang w:eastAsia="zh-CN"/>
        </w:rPr>
        <w:t>）</w:t>
      </w:r>
      <w:r>
        <w:rPr>
          <w:rFonts w:hint="eastAsia" w:ascii="宋体" w:hAnsi="宋体" w:cs="宋体"/>
          <w:szCs w:val="21"/>
          <w:highlight w:val="none"/>
        </w:rPr>
        <w:t>查询相关主体信用记录</w:t>
      </w:r>
      <w:r>
        <w:rPr>
          <w:rFonts w:hint="eastAsia" w:ascii="宋体" w:hAnsi="宋体" w:cs="宋体"/>
          <w:szCs w:val="21"/>
          <w:highlight w:val="none"/>
          <w:lang w:eastAsia="zh-CN"/>
        </w:rPr>
        <w:t>，</w:t>
      </w:r>
      <w:r>
        <w:rPr>
          <w:rFonts w:hint="eastAsia" w:ascii="宋体" w:hAnsi="宋体" w:cs="宋体"/>
          <w:szCs w:val="21"/>
          <w:highlight w:val="none"/>
        </w:rPr>
        <w:t>未被列入失信被执行人、重大税收违法案件当事人名单、政府采购严重违法失信行为记录名单。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2.3.1信用查询时间</w:t>
      </w:r>
      <w:r>
        <w:rPr>
          <w:rFonts w:hint="eastAsia" w:ascii="宋体" w:hAnsi="宋体" w:cs="宋体"/>
          <w:szCs w:val="21"/>
          <w:highlight w:val="none"/>
          <w:lang w:eastAsia="zh-CN"/>
        </w:rPr>
        <w:t>：</w:t>
      </w:r>
      <w:r>
        <w:rPr>
          <w:rFonts w:hint="eastAsia" w:ascii="宋体" w:hAnsi="宋体" w:cs="宋体"/>
          <w:szCs w:val="21"/>
          <w:highlight w:val="none"/>
        </w:rPr>
        <w:t>以投标文件递交截止时间后2小时内查询为准。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2.3.2查询结果留存方式</w:t>
      </w:r>
      <w:r>
        <w:rPr>
          <w:rFonts w:hint="eastAsia" w:ascii="宋体" w:hAnsi="宋体" w:cs="宋体"/>
          <w:szCs w:val="21"/>
          <w:highlight w:val="none"/>
          <w:lang w:eastAsia="zh-CN"/>
        </w:rPr>
        <w:t>：</w:t>
      </w:r>
      <w:r>
        <w:rPr>
          <w:rFonts w:hint="eastAsia" w:ascii="宋体" w:hAnsi="宋体" w:cs="宋体"/>
          <w:szCs w:val="21"/>
          <w:highlight w:val="none"/>
        </w:rPr>
        <w:t>以纸质截图或将截图保存至电子介质形式留存。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2.4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2.5单位负责人为同一人或者存在直接控股、管理关系的不同供应商</w:t>
      </w:r>
      <w:r>
        <w:rPr>
          <w:rFonts w:hint="eastAsia" w:ascii="宋体" w:hAnsi="宋体" w:cs="宋体"/>
          <w:szCs w:val="21"/>
          <w:highlight w:val="none"/>
          <w:lang w:eastAsia="zh-CN"/>
        </w:rPr>
        <w:t>，</w:t>
      </w:r>
      <w:r>
        <w:rPr>
          <w:rFonts w:hint="eastAsia" w:ascii="宋体" w:hAnsi="宋体" w:cs="宋体"/>
          <w:szCs w:val="21"/>
          <w:highlight w:val="none"/>
        </w:rPr>
        <w:t>不得参加同一合同项下的政府采购活动。</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szCs w:val="21"/>
          <w:highlight w:val="none"/>
        </w:rPr>
        <w:t>除单一来源采购项目外</w:t>
      </w:r>
      <w:r>
        <w:rPr>
          <w:rFonts w:hint="eastAsia" w:ascii="宋体" w:hAnsi="宋体" w:cs="宋体"/>
          <w:szCs w:val="21"/>
          <w:highlight w:val="none"/>
          <w:lang w:eastAsia="zh-CN"/>
        </w:rPr>
        <w:t>，</w:t>
      </w:r>
      <w:r>
        <w:rPr>
          <w:rFonts w:hint="eastAsia" w:ascii="宋体" w:hAnsi="宋体" w:cs="宋体"/>
          <w:szCs w:val="21"/>
          <w:highlight w:val="none"/>
        </w:rPr>
        <w:t>为采购项目提供整体设计、规范编制或者项目管理、监理、检测等服务的供应商</w:t>
      </w:r>
      <w:r>
        <w:rPr>
          <w:rFonts w:hint="eastAsia" w:ascii="宋体" w:hAnsi="宋体" w:cs="宋体"/>
          <w:szCs w:val="21"/>
          <w:highlight w:val="none"/>
          <w:lang w:eastAsia="zh-CN"/>
        </w:rPr>
        <w:t>，</w:t>
      </w:r>
      <w:r>
        <w:rPr>
          <w:rFonts w:hint="eastAsia" w:ascii="宋体" w:hAnsi="宋体" w:cs="宋体"/>
          <w:szCs w:val="21"/>
          <w:highlight w:val="none"/>
        </w:rPr>
        <w:t>不得再参加该采购项目的其他采购活动。</w:t>
      </w:r>
    </w:p>
    <w:p>
      <w:pPr>
        <w:pStyle w:val="13"/>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3.投标费用</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3.1招标文件售出后，不予退还。</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3.2供应商应承担所有与准备和参加投标有关的费用。无论投标的结果如何，采购方和采购代理机构均无义务和责任承担这些费用。</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4.适用法律</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本次招标活动及由本次招标产生的合同受中华人民共和国法律的制约、保护和调整。</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 xml:space="preserve">  5.招标文件的约束力</w:t>
      </w:r>
    </w:p>
    <w:p>
      <w:pPr>
        <w:adjustRightInd w:val="0"/>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供应商一旦购买了本招标文件并参加投标，即被认为接受了本招标文件中的所有条件和规定。</w:t>
      </w:r>
    </w:p>
    <w:p>
      <w:pPr>
        <w:bidi w:val="0"/>
        <w:rPr>
          <w:highlight w:val="none"/>
        </w:rPr>
      </w:pPr>
    </w:p>
    <w:p>
      <w:pPr>
        <w:pStyle w:val="4"/>
        <w:bidi w:val="0"/>
        <w:jc w:val="center"/>
        <w:rPr>
          <w:highlight w:val="none"/>
        </w:rPr>
      </w:pPr>
      <w:bookmarkStart w:id="5" w:name="_Toc26937"/>
      <w:bookmarkStart w:id="6" w:name="_Toc18552"/>
      <w:r>
        <w:rPr>
          <w:rFonts w:hint="eastAsia"/>
          <w:highlight w:val="none"/>
        </w:rPr>
        <w:t>B  招标文件</w:t>
      </w:r>
      <w:bookmarkEnd w:id="5"/>
      <w:bookmarkEnd w:id="6"/>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6.招标文件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6.1招标文件由下列内容组成：</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第一部分   招标公告</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第二部分   供应商须知</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第三部分   评标办法</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第四部分   采购内容及要求</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第五部分   拟签订合同的主要条款</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第六部分   投标文件格式</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7．招标文件的澄清、修改</w:t>
      </w:r>
    </w:p>
    <w:p>
      <w:pPr>
        <w:adjustRightInd w:val="0"/>
        <w:snapToGrid w:val="0"/>
        <w:spacing w:line="360" w:lineRule="auto"/>
        <w:ind w:firstLine="500"/>
        <w:rPr>
          <w:rFonts w:ascii="宋体" w:hAnsi="宋体" w:cs="宋体"/>
          <w:szCs w:val="21"/>
          <w:highlight w:val="none"/>
        </w:rPr>
      </w:pPr>
      <w:r>
        <w:rPr>
          <w:rFonts w:hint="eastAsia" w:ascii="宋体" w:hAnsi="宋体" w:cs="宋体"/>
          <w:szCs w:val="21"/>
          <w:highlight w:val="none"/>
        </w:rPr>
        <w:t>7.1采购人或采购代理机构对已发出的招标文件进行必要的澄清或者修改的</w:t>
      </w:r>
      <w:r>
        <w:rPr>
          <w:rFonts w:hint="eastAsia" w:ascii="宋体" w:hAnsi="宋体" w:cs="宋体"/>
          <w:szCs w:val="21"/>
          <w:highlight w:val="none"/>
          <w:lang w:eastAsia="zh-CN"/>
        </w:rPr>
        <w:t>，</w:t>
      </w:r>
      <w:r>
        <w:rPr>
          <w:rFonts w:hint="eastAsia" w:ascii="宋体" w:hAnsi="宋体" w:cs="宋体"/>
          <w:szCs w:val="21"/>
          <w:highlight w:val="none"/>
        </w:rPr>
        <w:t>应在招标文件要求提交投标文件截止时间十五日前以书面形式通知所有已获取招标文件的潜在投标人</w:t>
      </w:r>
      <w:r>
        <w:rPr>
          <w:rFonts w:hint="eastAsia" w:ascii="宋体" w:hAnsi="宋体" w:cs="宋体"/>
          <w:szCs w:val="21"/>
          <w:highlight w:val="none"/>
          <w:lang w:eastAsia="zh-CN"/>
        </w:rPr>
        <w:t>，</w:t>
      </w:r>
      <w:r>
        <w:rPr>
          <w:rFonts w:hint="eastAsia" w:ascii="宋体" w:hAnsi="宋体" w:cs="宋体"/>
          <w:szCs w:val="21"/>
          <w:highlight w:val="none"/>
        </w:rPr>
        <w:t>不足十五日的</w:t>
      </w:r>
      <w:r>
        <w:rPr>
          <w:rFonts w:hint="eastAsia" w:ascii="宋体" w:hAnsi="宋体" w:cs="宋体"/>
          <w:szCs w:val="21"/>
          <w:highlight w:val="none"/>
          <w:lang w:eastAsia="zh-CN"/>
        </w:rPr>
        <w:t>，</w:t>
      </w:r>
      <w:r>
        <w:rPr>
          <w:rFonts w:hint="eastAsia" w:ascii="宋体" w:hAnsi="宋体" w:cs="宋体"/>
          <w:szCs w:val="21"/>
          <w:highlight w:val="none"/>
        </w:rPr>
        <w:t>采购人或采购代理机构应当顺延提交投标文件的截止时间。</w:t>
      </w:r>
    </w:p>
    <w:p>
      <w:pPr>
        <w:adjustRightInd w:val="0"/>
        <w:snapToGrid w:val="0"/>
        <w:spacing w:line="360" w:lineRule="auto"/>
        <w:ind w:firstLine="500"/>
        <w:rPr>
          <w:rFonts w:ascii="宋体" w:hAnsi="宋体" w:cs="宋体"/>
          <w:szCs w:val="21"/>
          <w:highlight w:val="none"/>
        </w:rPr>
      </w:pPr>
      <w:r>
        <w:rPr>
          <w:rFonts w:hint="eastAsia" w:ascii="宋体" w:hAnsi="宋体" w:cs="宋体"/>
          <w:szCs w:val="21"/>
          <w:highlight w:val="none"/>
        </w:rPr>
        <w:t>7.2招标文件澄清或者修改内容在陕西省政府采购、安康市公共资源交易中心发布媒体上发布更正公告，并以书面形式通知所有招标文件收受人，供应商应于收到该修改文件后当日内以书面形式给予确认。招标文件的修改内容作为招标文件的组成部分，具有约束作用。</w:t>
      </w:r>
    </w:p>
    <w:p>
      <w:pPr>
        <w:adjustRightInd w:val="0"/>
        <w:snapToGrid w:val="0"/>
        <w:spacing w:line="360" w:lineRule="auto"/>
        <w:ind w:firstLine="500"/>
        <w:rPr>
          <w:rFonts w:ascii="宋体" w:hAnsi="宋体" w:cs="宋体"/>
          <w:szCs w:val="21"/>
          <w:highlight w:val="none"/>
        </w:rPr>
      </w:pPr>
      <w:r>
        <w:rPr>
          <w:rFonts w:hint="eastAsia" w:ascii="宋体" w:hAnsi="宋体" w:cs="宋体"/>
          <w:szCs w:val="21"/>
          <w:highlight w:val="none"/>
        </w:rPr>
        <w:t>7.3招标文件的澄清、修改、补充等内容均以书面形式明确的内容为准。当招标文件、招标文件的澄清、修改、补充等在同一内容的表述上不一致时，以最后发出的书面文件为准。</w:t>
      </w:r>
    </w:p>
    <w:p>
      <w:pPr>
        <w:adjustRightInd w:val="0"/>
        <w:snapToGrid w:val="0"/>
        <w:spacing w:line="360" w:lineRule="auto"/>
        <w:ind w:firstLine="500"/>
        <w:rPr>
          <w:rFonts w:ascii="宋体" w:hAnsi="宋体" w:cs="宋体"/>
          <w:szCs w:val="21"/>
          <w:highlight w:val="none"/>
        </w:rPr>
      </w:pPr>
      <w:r>
        <w:rPr>
          <w:rFonts w:hint="eastAsia" w:ascii="宋体" w:hAnsi="宋体" w:cs="宋体"/>
          <w:szCs w:val="21"/>
          <w:highlight w:val="none"/>
        </w:rPr>
        <w:t>7.4根据本项目投标工作进展实际情况，采购人可酌情延长提交投标文件的截止时间，具体时间将在招标文件的修改、补充通知中予以明确。</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7.5供应商认为招标文件、采购过程和中标、成交结果使自己的权益受到损害的，可以在知道或者应知其权益受到损害之日起七个工作日内，以书面形式向采购人提出质疑，否则不予接受。</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7.6质疑函以书面形式由法定代表人或委托代理人递交到采购代理机构，质疑函内容按照财政部令第94号规定执行。联系人</w:t>
      </w:r>
      <w:r>
        <w:rPr>
          <w:rFonts w:hint="eastAsia" w:ascii="宋体" w:hAnsi="宋体" w:cs="宋体"/>
          <w:szCs w:val="21"/>
          <w:highlight w:val="none"/>
          <w:lang w:eastAsia="zh-CN"/>
        </w:rPr>
        <w:t>：</w:t>
      </w:r>
      <w:r>
        <w:rPr>
          <w:rFonts w:hint="eastAsia" w:ascii="宋体" w:hAnsi="宋体" w:cs="宋体"/>
          <w:szCs w:val="21"/>
          <w:highlight w:val="none"/>
        </w:rPr>
        <w:t>王锐刚；联系电话：029-88621616-607；地址：西安市沣东新城三桥新街630号搜宝中心A座12B6室。</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质疑函范本</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一、质疑供应商基本信息</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 xml:space="preserve">质疑供应商： </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地址：                         邮编：</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联系人：                       联系电话：</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授权代表：                     联系电话：</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地址：                         邮编：</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二、质疑项目基本情况</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质疑项目的名称：</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质疑项目的编号：               包号：</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采购人名称：</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采购文件获取日期：</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三、质疑事项具体内容</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质疑事项1：</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事实依据：</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法律依据：</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质疑事项2：</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四、与质疑事项相关的质疑请求</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请求：</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签字（签章）：           公章：</w:t>
      </w:r>
    </w:p>
    <w:p>
      <w:pPr>
        <w:pStyle w:val="20"/>
        <w:adjustRightInd w:val="0"/>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日期：</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7.7质疑函应当由法定代表人或授权代表签字或盖章，并加盖单位公章，公章不得以合同章或其他印章代替，并附法人身份证明。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7.8质疑人可以委托代理人办理质疑事项，代理人办理质疑事项时，除提交质疑函外，还应当提交质疑人的授权委托书及代理人的有效身份证明，授权委托书应当载明委托代理的具体权限和事项。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7.9有下列情形之一的，属于无效质疑，采购代理机构和采购人不予受理：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（1）质疑人不是参与本次政府采购项目的供应商；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（2）质疑人与质疑事项不存在利害关系的；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（3）未在法定期限内提出质疑的；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（4）质疑未以书面形式提出，以传真、电子邮件、移动通信等形式即时收悉提交的质疑材料；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（5）质疑未按质疑函范本格式提出的；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（6）质疑函主要内容构成不完整的；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（7）质疑函没有合法有效的签字、盖章或授权的；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（8）以非法手段取得证据、材料的；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（9）质疑答复后，同一质疑人就同一事项再次提出质疑的；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（10）不符合</w:t>
      </w:r>
      <w:r>
        <w:rPr>
          <w:rFonts w:hint="eastAsia" w:ascii="宋体" w:hAnsi="宋体" w:cs="宋体"/>
          <w:szCs w:val="21"/>
          <w:highlight w:val="none"/>
          <w:lang w:eastAsia="zh-CN"/>
        </w:rPr>
        <w:t>法律法规</w:t>
      </w:r>
      <w:r>
        <w:rPr>
          <w:rFonts w:hint="eastAsia" w:ascii="宋体" w:hAnsi="宋体" w:cs="宋体"/>
          <w:szCs w:val="21"/>
          <w:highlight w:val="none"/>
        </w:rPr>
        <w:t>、规章和政府采购监管机构规定的其他条件的。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7.10采购代理机构或采购人将在收到书面质疑后7个工作日内</w:t>
      </w:r>
      <w:r>
        <w:rPr>
          <w:rFonts w:hint="eastAsia" w:ascii="宋体" w:hAnsi="宋体" w:cs="宋体"/>
          <w:szCs w:val="21"/>
          <w:highlight w:val="none"/>
          <w:lang w:eastAsia="zh-CN"/>
        </w:rPr>
        <w:t>作出</w:t>
      </w:r>
      <w:r>
        <w:rPr>
          <w:rFonts w:hint="eastAsia" w:ascii="宋体" w:hAnsi="宋体" w:cs="宋体"/>
          <w:szCs w:val="21"/>
          <w:highlight w:val="none"/>
        </w:rPr>
        <w:t>答复，并以书面形式通知质疑人和其他有关供应商。</w:t>
      </w:r>
    </w:p>
    <w:p>
      <w:pPr>
        <w:adjustRightInd w:val="0"/>
        <w:snapToGrid w:val="0"/>
        <w:spacing w:line="360" w:lineRule="auto"/>
        <w:ind w:firstLine="420" w:firstLineChars="200"/>
        <w:outlineLvl w:val="0"/>
        <w:rPr>
          <w:rFonts w:ascii="宋体" w:hAnsi="宋体" w:cs="宋体"/>
          <w:szCs w:val="21"/>
          <w:highlight w:val="none"/>
        </w:rPr>
      </w:pPr>
      <w:bookmarkStart w:id="7" w:name="_Toc23407"/>
      <w:r>
        <w:rPr>
          <w:rFonts w:hint="eastAsia" w:ascii="宋体" w:hAnsi="宋体" w:cs="宋体"/>
          <w:szCs w:val="21"/>
          <w:highlight w:val="none"/>
        </w:rPr>
        <w:t>7.11投诉</w:t>
      </w:r>
      <w:bookmarkEnd w:id="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供应商和其他利害关系人认为本次招标采购活动违反</w:t>
      </w:r>
      <w:r>
        <w:rPr>
          <w:rFonts w:hint="eastAsia" w:ascii="宋体" w:hAnsi="宋体" w:cs="宋体"/>
          <w:szCs w:val="21"/>
          <w:highlight w:val="none"/>
          <w:lang w:eastAsia="zh-CN"/>
        </w:rPr>
        <w:t>法律法规</w:t>
      </w:r>
      <w:r>
        <w:rPr>
          <w:rFonts w:hint="eastAsia" w:ascii="宋体" w:hAnsi="宋体" w:cs="宋体"/>
          <w:szCs w:val="21"/>
          <w:highlight w:val="none"/>
        </w:rPr>
        <w:t>和规章规定的，有权向有关行政监督机构投诉。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（1）质疑人对采购代理机构或采购人的答复不满意，以及采购代理机构或采购人未在规定时间内</w:t>
      </w:r>
      <w:r>
        <w:rPr>
          <w:rFonts w:hint="eastAsia" w:ascii="宋体" w:hAnsi="宋体" w:cs="宋体"/>
          <w:szCs w:val="21"/>
          <w:highlight w:val="none"/>
          <w:lang w:eastAsia="zh-CN"/>
        </w:rPr>
        <w:t>作出</w:t>
      </w:r>
      <w:r>
        <w:rPr>
          <w:rFonts w:hint="eastAsia" w:ascii="宋体" w:hAnsi="宋体" w:cs="宋体"/>
          <w:szCs w:val="21"/>
          <w:highlight w:val="none"/>
        </w:rPr>
        <w:t>答复的，可以在答复期满后15个工作日内向政府采购监管机构提出投诉。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（2）供应商投诉的事项不得超出已质疑事项的范围。</w:t>
      </w:r>
    </w:p>
    <w:p>
      <w:pPr>
        <w:adjustRightInd w:val="0"/>
        <w:snapToGrid w:val="0"/>
        <w:spacing w:line="360" w:lineRule="auto"/>
        <w:ind w:firstLine="420" w:firstLineChars="200"/>
        <w:rPr>
          <w:rFonts w:ascii="宋体" w:hAnsi="宋体" w:cs="宋体"/>
          <w:b/>
          <w:sz w:val="24"/>
          <w:szCs w:val="24"/>
          <w:highlight w:val="none"/>
        </w:rPr>
      </w:pPr>
      <w:r>
        <w:rPr>
          <w:rFonts w:hint="eastAsia" w:ascii="宋体" w:hAnsi="宋体" w:cs="宋体"/>
          <w:szCs w:val="21"/>
          <w:highlight w:val="none"/>
        </w:rPr>
        <w:t>（3）投诉书范本格式在中国政府采购网站（http://www.ccgp.gov.cn/）自行下载。</w:t>
      </w:r>
    </w:p>
    <w:p>
      <w:pPr>
        <w:pStyle w:val="4"/>
        <w:bidi w:val="0"/>
        <w:rPr>
          <w:highlight w:val="none"/>
        </w:rPr>
      </w:pPr>
      <w:bookmarkStart w:id="8" w:name="_Toc10224"/>
      <w:bookmarkStart w:id="9" w:name="_Toc15221"/>
      <w:r>
        <w:rPr>
          <w:rFonts w:hint="eastAsia"/>
          <w:highlight w:val="none"/>
        </w:rPr>
        <w:t>C  投标文件的编制</w:t>
      </w:r>
      <w:bookmarkEnd w:id="8"/>
      <w:bookmarkEnd w:id="9"/>
    </w:p>
    <w:p>
      <w:pPr>
        <w:pStyle w:val="13"/>
        <w:adjustRightInd w:val="0"/>
        <w:snapToGrid w:val="0"/>
        <w:spacing w:line="360" w:lineRule="auto"/>
        <w:rPr>
          <w:rFonts w:hAnsi="宋体" w:cs="宋体"/>
          <w:b/>
          <w:szCs w:val="21"/>
          <w:highlight w:val="none"/>
        </w:rPr>
      </w:pPr>
      <w:r>
        <w:rPr>
          <w:rFonts w:hint="eastAsia" w:hAnsi="宋体" w:cs="宋体"/>
          <w:sz w:val="24"/>
          <w:szCs w:val="24"/>
          <w:highlight w:val="none"/>
        </w:rPr>
        <w:t xml:space="preserve">   </w:t>
      </w:r>
      <w:r>
        <w:rPr>
          <w:rFonts w:hint="eastAsia" w:hAnsi="宋体" w:cs="宋体"/>
          <w:b/>
          <w:szCs w:val="21"/>
          <w:highlight w:val="none"/>
        </w:rPr>
        <w:t>8.投标文件的语言及度量衡单位</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8.1供应商的投标文件以及供应商就有关投标的所有来往函电均应使用中文。</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8.2除技术规范中另有规定外，投标文件所使用的度量衡单位，均应采用国际标准计量单位。</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 xml:space="preserve"> 9.投标文件的组成</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9.1投标文件由招标文件第六部分“投标文件格式”所列内容组成。</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9.2 供应商应认真阅读招标文件中所有的事项、条款和规范等要求。若供应商提交的投标文件资料不全，或未对招标文件作出实质性响应，将导致投标文件被拒绝。</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9.3供应商应对投标文件的真实性负责。如果供应商弄虚作假，提供虚假参数、信息、资料的，其投标作无效投标处理，并承担相应的责任。</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9.4本项目采用电子化投标与纸质投标文件并行的方式。供应商人须使用数字认证证书对电子化投标文件进行签章、加密、递交及开标时解密等相关招投标事宜。现场递交投标文件时务必携带数字认证证书，如因供应商自身原因未携带数字认证证书造成无法解密投标文件，按无效投标对待。</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9.5制作电子投标文件。供应商须在“全国公共资源交易中心平台（陕西省）（http://www.sxggzyjy.cn/）”的“服务指南”栏目“下载专区”中，免费下载“陕西省公共资源交易平台政府采购电子标书制作工具”，并使用该客户端制作电子投标文件，制作扩展名为“.SXSTF”的电子投标文件。</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9.6递交电子投标文件。登录陕西省安康市公共资源交易中心平台（http://ak.sxggzyjy.cn/），选择“电子交易平台</w:t>
      </w:r>
      <w:r>
        <w:rPr>
          <w:rFonts w:hint="eastAsia" w:ascii="宋体" w:hAnsi="宋体" w:cs="宋体"/>
          <w:b/>
          <w:szCs w:val="21"/>
          <w:highlight w:val="none"/>
          <w:lang w:eastAsia="zh-CN"/>
        </w:rPr>
        <w:t>－</w:t>
      </w:r>
      <w:r>
        <w:rPr>
          <w:rFonts w:hint="eastAsia" w:ascii="宋体" w:hAnsi="宋体" w:cs="宋体"/>
          <w:b/>
          <w:szCs w:val="21"/>
          <w:highlight w:val="none"/>
        </w:rPr>
        <w:t>陕西政府采购交易系统</w:t>
      </w:r>
      <w:r>
        <w:rPr>
          <w:rFonts w:hint="eastAsia" w:ascii="宋体" w:hAnsi="宋体" w:cs="宋体"/>
          <w:b/>
          <w:szCs w:val="21"/>
          <w:highlight w:val="none"/>
          <w:lang w:eastAsia="zh-CN"/>
        </w:rPr>
        <w:t>－</w:t>
      </w:r>
      <w:r>
        <w:rPr>
          <w:rFonts w:hint="eastAsia" w:ascii="宋体" w:hAnsi="宋体" w:cs="宋体"/>
          <w:b/>
          <w:szCs w:val="21"/>
          <w:highlight w:val="none"/>
        </w:rPr>
        <w:t>陕西省安康市公共资源交易平台</w:t>
      </w:r>
      <w:r>
        <w:rPr>
          <w:rFonts w:hint="eastAsia" w:ascii="宋体" w:hAnsi="宋体" w:cs="宋体"/>
          <w:b/>
          <w:szCs w:val="21"/>
          <w:highlight w:val="none"/>
          <w:lang w:eastAsia="zh-CN"/>
        </w:rPr>
        <w:t>－</w:t>
      </w:r>
      <w:r>
        <w:rPr>
          <w:rFonts w:hint="eastAsia" w:ascii="宋体" w:hAnsi="宋体" w:cs="宋体"/>
          <w:b/>
          <w:szCs w:val="21"/>
          <w:highlight w:val="none"/>
        </w:rPr>
        <w:t>供应商”进行登录，登录后选择“交易乙方”身份进入，选择“上传投标文件”菜单页面，上传加密的电子化投标文件。上传成功后，电子化平台将予以记录。</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9.7制作纸质版投标文件。供应商按照网上下载的电子文件格式做一正一副纸质投标文件，并按招标文件要求密封递交纸质版投标文件。</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9.8电子版中须拷入：与纸质版投标文件一致的电子版（word版投标文件、投标文件（资格。商务技术）正本签字盖章后的PDF格式扫描件）投标文件。</w:t>
      </w:r>
    </w:p>
    <w:p>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9.9电子化投标文件与纸质投标文件的内容不一致时，评标委员会将按最不利于投标供应商的原则对投标文件做出评判，因此导致废标或未中标，投标供应商自行承担责任。</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10.投标报价</w:t>
      </w:r>
    </w:p>
    <w:p>
      <w:pPr>
        <w:pStyle w:val="20"/>
        <w:adjustRightInd w:val="0"/>
        <w:snapToGrid w:val="0"/>
        <w:spacing w:after="0" w:line="360" w:lineRule="auto"/>
        <w:ind w:firstLine="420" w:firstLineChars="200"/>
        <w:rPr>
          <w:rFonts w:ascii="宋体" w:hAnsi="宋体" w:cs="宋体"/>
          <w:bCs/>
          <w:szCs w:val="21"/>
          <w:highlight w:val="none"/>
        </w:rPr>
      </w:pPr>
      <w:r>
        <w:rPr>
          <w:rFonts w:hint="eastAsia" w:ascii="宋体" w:hAnsi="宋体" w:cs="宋体"/>
          <w:bCs/>
          <w:szCs w:val="21"/>
          <w:highlight w:val="none"/>
        </w:rPr>
        <w:t>10.1</w:t>
      </w:r>
      <w:r>
        <w:rPr>
          <w:rFonts w:hint="eastAsia" w:ascii="宋体" w:hAnsi="宋体" w:cs="宋体"/>
          <w:kern w:val="0"/>
          <w:szCs w:val="21"/>
          <w:highlight w:val="none"/>
        </w:rPr>
        <w:t>本项目中投标报价是供应商为了完成本项目服务所需要的所有工作内容的全部费用，包括人工费、材料设备费、管理费、运输费、装卸费、安装费、税金、完成全部设备采购及安装内容的直接费用、间接费用、招标代理服务费等达到使用要求的一切费用，供应商漏报或不报，采购人将视为有关费用已包括在投标报价中；</w:t>
      </w:r>
      <w:r>
        <w:rPr>
          <w:rFonts w:hint="eastAsia" w:ascii="宋体" w:hAnsi="宋体" w:cs="宋体"/>
          <w:bCs/>
          <w:szCs w:val="21"/>
          <w:highlight w:val="none"/>
        </w:rPr>
        <w:t xml:space="preserve"> </w:t>
      </w:r>
    </w:p>
    <w:p>
      <w:pPr>
        <w:pStyle w:val="20"/>
        <w:adjustRightInd w:val="0"/>
        <w:snapToGrid w:val="0"/>
        <w:spacing w:after="0" w:line="360" w:lineRule="auto"/>
        <w:ind w:firstLine="420" w:firstLineChars="200"/>
        <w:rPr>
          <w:rFonts w:ascii="宋体" w:hAnsi="宋体" w:cs="宋体"/>
          <w:bCs/>
          <w:szCs w:val="21"/>
          <w:highlight w:val="none"/>
        </w:rPr>
      </w:pPr>
      <w:r>
        <w:rPr>
          <w:rFonts w:hint="eastAsia" w:ascii="宋体" w:hAnsi="宋体" w:cs="宋体"/>
          <w:bCs/>
          <w:szCs w:val="21"/>
          <w:highlight w:val="none"/>
        </w:rPr>
        <w:t>10.2合同总价包死，交货及安装期限内不再调整；</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10.3凡因供应商对招标文件阅读疏忽或误解，或因对项目情况、市场行情等了解不清而造成的后果和风险，由供应商自行承担；如供应商因此而提出索赔或交货及安装期限延长，采购人将不予认可。  </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10.4采购人不接受任何选择性报价，只能有一个投标报价。</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11.投标货币</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除非另有规定，供应商应采用人民币报价。</w:t>
      </w:r>
    </w:p>
    <w:p>
      <w:pPr>
        <w:pStyle w:val="13"/>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12.投标保证金</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采用电汇、转账、支票、汇票、本票或者金融机构、担保机构出具的保函等非现金形式提交，且确保在响应文件递交截止时间前到达采购代理机构指定账户。有效期为开标之日起90日历天。本项目投标保证金为人民币柒万伍仟元整（¥75000.00元）供应商应确保所缴纳的投标保证金在2021年</w:t>
      </w:r>
      <w:r>
        <w:rPr>
          <w:rFonts w:hint="eastAsia" w:hAnsi="宋体" w:cs="宋体"/>
          <w:szCs w:val="21"/>
          <w:highlight w:val="none"/>
          <w:lang w:val="en-US" w:eastAsia="zh-CN"/>
        </w:rPr>
        <w:t>07</w:t>
      </w:r>
      <w:r>
        <w:rPr>
          <w:rFonts w:hint="eastAsia" w:hAnsi="宋体" w:cs="宋体"/>
          <w:szCs w:val="21"/>
          <w:highlight w:val="none"/>
        </w:rPr>
        <w:t>月</w:t>
      </w:r>
      <w:r>
        <w:rPr>
          <w:rFonts w:hint="eastAsia" w:hAnsi="宋体" w:cs="宋体"/>
          <w:szCs w:val="21"/>
          <w:highlight w:val="none"/>
          <w:lang w:val="en-US" w:eastAsia="zh-CN"/>
        </w:rPr>
        <w:t>08</w:t>
      </w:r>
      <w:r>
        <w:rPr>
          <w:rFonts w:hint="eastAsia" w:hAnsi="宋体" w:cs="宋体"/>
          <w:szCs w:val="21"/>
          <w:highlight w:val="none"/>
        </w:rPr>
        <w:t>日 09:30前（北京时间）到达以下指定账户。供应商应合理安排保证金缴纳时间，因异地转账、跨行转账、非工作日转账等原因导致保证金未能在规定时间内到达指定账户，视为未在规定时间内缴纳，供应商将丧失投标资格。</w:t>
      </w:r>
    </w:p>
    <w:p>
      <w:pPr>
        <w:pStyle w:val="13"/>
        <w:adjustRightInd w:val="0"/>
        <w:snapToGrid w:val="0"/>
        <w:spacing w:line="360" w:lineRule="auto"/>
        <w:rPr>
          <w:rFonts w:hint="eastAsia" w:hAnsi="宋体" w:cs="宋体"/>
          <w:szCs w:val="21"/>
          <w:highlight w:val="none"/>
        </w:rPr>
      </w:pPr>
      <w:r>
        <w:rPr>
          <w:rFonts w:hint="eastAsia" w:hAnsi="宋体" w:cs="宋体"/>
          <w:szCs w:val="21"/>
          <w:highlight w:val="none"/>
        </w:rPr>
        <w:t>开户行名称：</w:t>
      </w:r>
      <w:r>
        <w:rPr>
          <w:rFonts w:hint="eastAsia" w:hAnsi="宋体" w:cs="宋体"/>
          <w:szCs w:val="21"/>
          <w:highlight w:val="none"/>
          <w:lang w:val="en-US" w:eastAsia="zh-CN"/>
        </w:rPr>
        <w:t>安康市政务服务中心公共资源交易保证金专用账户</w:t>
      </w:r>
    </w:p>
    <w:p>
      <w:pPr>
        <w:pStyle w:val="13"/>
        <w:adjustRightInd w:val="0"/>
        <w:snapToGrid w:val="0"/>
        <w:spacing w:line="360" w:lineRule="auto"/>
        <w:rPr>
          <w:rFonts w:hAnsi="宋体" w:cs="宋体"/>
          <w:szCs w:val="21"/>
          <w:highlight w:val="none"/>
        </w:rPr>
      </w:pPr>
      <w:r>
        <w:rPr>
          <w:rFonts w:hint="eastAsia" w:hAnsi="宋体" w:cs="宋体"/>
          <w:szCs w:val="21"/>
          <w:highlight w:val="none"/>
        </w:rPr>
        <w:t>开户行：中国建设银行股份有限公司安康分行营业部</w:t>
      </w:r>
    </w:p>
    <w:p>
      <w:pPr>
        <w:pStyle w:val="13"/>
        <w:adjustRightInd w:val="0"/>
        <w:snapToGrid w:val="0"/>
        <w:spacing w:line="360" w:lineRule="auto"/>
        <w:rPr>
          <w:rFonts w:hAnsi="宋体" w:cs="宋体"/>
          <w:szCs w:val="21"/>
          <w:highlight w:val="none"/>
        </w:rPr>
      </w:pPr>
      <w:r>
        <w:rPr>
          <w:rFonts w:hint="eastAsia" w:hAnsi="宋体" w:cs="宋体"/>
          <w:szCs w:val="21"/>
          <w:highlight w:val="none"/>
        </w:rPr>
        <w:t xml:space="preserve">账号：610501663711000003212599                  </w:t>
      </w:r>
    </w:p>
    <w:p>
      <w:pPr>
        <w:pStyle w:val="13"/>
        <w:adjustRightInd w:val="0"/>
        <w:snapToGrid w:val="0"/>
        <w:spacing w:line="360" w:lineRule="auto"/>
        <w:rPr>
          <w:rFonts w:hAnsi="宋体" w:cs="宋体"/>
          <w:szCs w:val="21"/>
          <w:highlight w:val="none"/>
        </w:rPr>
      </w:pPr>
      <w:r>
        <w:rPr>
          <w:rFonts w:hint="eastAsia" w:hAnsi="宋体" w:cs="宋体"/>
          <w:szCs w:val="21"/>
          <w:highlight w:val="none"/>
        </w:rPr>
        <w:t>汇款时备注信息：（投标保证金）</w:t>
      </w:r>
    </w:p>
    <w:p>
      <w:pPr>
        <w:pStyle w:val="13"/>
        <w:adjustRightInd w:val="0"/>
        <w:snapToGrid w:val="0"/>
        <w:spacing w:line="360" w:lineRule="auto"/>
        <w:rPr>
          <w:rFonts w:hAnsi="宋体" w:cs="宋体"/>
          <w:szCs w:val="21"/>
          <w:highlight w:val="none"/>
        </w:rPr>
      </w:pPr>
      <w:r>
        <w:rPr>
          <w:rFonts w:hint="eastAsia" w:hAnsi="宋体" w:cs="宋体"/>
          <w:szCs w:val="21"/>
          <w:highlight w:val="none"/>
        </w:rPr>
        <w:t>投标保证金交纳后，响应文件中附转账凭证（加盖公章），作为投标保证金交纳的唯一证据，否则按无效响应文件处理。</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 xml:space="preserve"> 13.投标有效期</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投标文件有效期为招标文件规定的投标截止之日后90日历天。投标有效期不足的投标将被视为非实质性响应，并予以拒绝。</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13.2在特殊情况下，在原投标有效期满之前，采购人可向供应商提出延长投标有效期的要求。要求与答复均应以书面的形式确认。</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13.3供应商同意延长投标有效期的，将不会被要求和允许修改其投标，受投标有效期制约的所有权利和义务均应延长至新的有效期。</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13.4供应商可以拒绝采购人延长投标有效期的要求，其投标失效。</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14.投标文件的份数和签署</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14.1供应商应按照本章“供应商须知”的要求准备投标文件</w:t>
      </w:r>
      <w:r>
        <w:rPr>
          <w:rFonts w:hint="eastAsia" w:ascii="宋体" w:hAnsi="宋体" w:cs="宋体"/>
          <w:szCs w:val="21"/>
          <w:highlight w:val="none"/>
          <w:lang w:eastAsia="zh-CN"/>
        </w:rPr>
        <w:t>（</w:t>
      </w:r>
      <w:r>
        <w:rPr>
          <w:rFonts w:hint="eastAsia" w:ascii="宋体" w:hAnsi="宋体" w:cs="宋体"/>
          <w:b/>
          <w:szCs w:val="21"/>
          <w:highlight w:val="none"/>
        </w:rPr>
        <w:t>投标文件正本一份，副本一份，电子版二份</w:t>
      </w:r>
      <w:r>
        <w:rPr>
          <w:rFonts w:hint="eastAsia" w:ascii="宋体" w:hAnsi="宋体" w:cs="宋体"/>
          <w:b/>
          <w:szCs w:val="21"/>
          <w:highlight w:val="none"/>
          <w:lang w:eastAsia="zh-CN"/>
        </w:rPr>
        <w:t>）</w:t>
      </w:r>
      <w:r>
        <w:rPr>
          <w:rFonts w:hint="eastAsia" w:ascii="宋体" w:hAnsi="宋体" w:cs="宋体"/>
          <w:szCs w:val="21"/>
          <w:highlight w:val="none"/>
        </w:rPr>
        <w:t>，每份投标文件封面须清楚地标明“正本</w:t>
      </w:r>
      <w:r>
        <w:rPr>
          <w:rFonts w:hint="eastAsia" w:ascii="宋体" w:hAnsi="宋体" w:cs="宋体"/>
          <w:szCs w:val="21"/>
          <w:highlight w:val="none"/>
          <w:lang w:eastAsia="zh-CN"/>
        </w:rPr>
        <w:t>”“</w:t>
      </w:r>
      <w:r>
        <w:rPr>
          <w:rFonts w:hint="eastAsia" w:ascii="宋体" w:hAnsi="宋体" w:cs="宋体"/>
          <w:szCs w:val="21"/>
          <w:highlight w:val="none"/>
        </w:rPr>
        <w:t xml:space="preserve">副本”字样。当正本和副本不符，以正本为准。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w:t>
      </w:r>
      <w:r>
        <w:rPr>
          <w:rFonts w:hint="eastAsia" w:ascii="宋体" w:hAnsi="宋体" w:cs="宋体"/>
          <w:b/>
          <w:szCs w:val="21"/>
          <w:highlight w:val="none"/>
        </w:rPr>
        <w:t>电子版包含投标文件的所有内容</w:t>
      </w:r>
      <w:r>
        <w:rPr>
          <w:rFonts w:hint="eastAsia" w:ascii="宋体" w:hAnsi="宋体" w:cs="宋体"/>
          <w:b/>
          <w:szCs w:val="21"/>
          <w:highlight w:val="none"/>
          <w:lang w:eastAsia="zh-CN"/>
        </w:rPr>
        <w:t>（</w:t>
      </w:r>
      <w:r>
        <w:rPr>
          <w:rFonts w:hint="eastAsia" w:ascii="宋体" w:hAnsi="宋体" w:cs="宋体"/>
          <w:b/>
          <w:szCs w:val="21"/>
          <w:highlight w:val="none"/>
        </w:rPr>
        <w:t>word版投标文件、投标文件（资格。商务技术）正本签字盖章后的PDF格式扫描件</w:t>
      </w:r>
      <w:r>
        <w:rPr>
          <w:rFonts w:hint="eastAsia" w:ascii="宋体" w:hAnsi="宋体" w:cs="宋体"/>
          <w:b/>
          <w:szCs w:val="21"/>
          <w:highlight w:val="none"/>
          <w:lang w:eastAsia="zh-CN"/>
        </w:rPr>
        <w:t>）</w:t>
      </w:r>
      <w:r>
        <w:rPr>
          <w:rFonts w:hint="eastAsia" w:ascii="宋体" w:hAnsi="宋体" w:cs="宋体"/>
          <w:b/>
          <w:szCs w:val="21"/>
          <w:highlight w:val="none"/>
        </w:rPr>
        <w:t>。</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投标文件的正本和所有的副本均需打印</w:t>
      </w:r>
      <w:r>
        <w:rPr>
          <w:rFonts w:hint="eastAsia" w:ascii="宋体" w:hAnsi="宋体" w:cs="宋体"/>
          <w:szCs w:val="21"/>
          <w:highlight w:val="none"/>
          <w:lang w:eastAsia="zh-CN"/>
        </w:rPr>
        <w:t>，</w:t>
      </w:r>
      <w:r>
        <w:rPr>
          <w:rFonts w:hint="eastAsia" w:ascii="宋体" w:hAnsi="宋体" w:cs="宋体"/>
          <w:szCs w:val="21"/>
          <w:highlight w:val="none"/>
        </w:rPr>
        <w:t>并由供应商的法定代表人或其委托代理人签字或盖章。投标文件如有修改，修改之处须由法定代表人或其委托代理人签字或盖章并加盖供应商公章。投标文件的副本可采用正本的复印件。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14.3因字迹潦草或表达不清所引起的后果由供应商负责。</w:t>
      </w:r>
    </w:p>
    <w:p>
      <w:pPr>
        <w:pStyle w:val="4"/>
        <w:bidi w:val="0"/>
        <w:rPr>
          <w:highlight w:val="none"/>
        </w:rPr>
      </w:pPr>
      <w:bookmarkStart w:id="10" w:name="_Toc1489"/>
      <w:bookmarkStart w:id="11" w:name="_Toc12261"/>
      <w:r>
        <w:rPr>
          <w:rFonts w:hint="eastAsia"/>
          <w:highlight w:val="none"/>
        </w:rPr>
        <w:t>D  投标文件的递交</w:t>
      </w:r>
      <w:bookmarkEnd w:id="10"/>
      <w:bookmarkEnd w:id="11"/>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 xml:space="preserve">15.投标文件的密封和标记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15.1 供应商应先将投标文件正本、副本、电子版分别密封，并注明“正本</w:t>
      </w:r>
      <w:r>
        <w:rPr>
          <w:rFonts w:hint="eastAsia" w:ascii="宋体" w:hAnsi="宋体" w:cs="宋体"/>
          <w:szCs w:val="21"/>
          <w:highlight w:val="none"/>
          <w:lang w:eastAsia="zh-CN"/>
        </w:rPr>
        <w:t>”“</w:t>
      </w:r>
      <w:r>
        <w:rPr>
          <w:rFonts w:hint="eastAsia" w:ascii="宋体" w:hAnsi="宋体" w:cs="宋体"/>
          <w:szCs w:val="21"/>
          <w:highlight w:val="none"/>
        </w:rPr>
        <w:t>副本”或“电子版”字样，封口处加封条密封，在封线处加盖供应商公章。</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15.2封套均应按下述写明：</w:t>
      </w:r>
    </w:p>
    <w:p>
      <w:pPr>
        <w:pStyle w:val="13"/>
        <w:adjustRightInd w:val="0"/>
        <w:snapToGrid w:val="0"/>
        <w:spacing w:line="360" w:lineRule="auto"/>
        <w:ind w:left="540"/>
        <w:rPr>
          <w:rFonts w:hAnsi="宋体" w:cs="宋体"/>
          <w:szCs w:val="21"/>
          <w:highlight w:val="none"/>
        </w:rPr>
      </w:pPr>
      <w:r>
        <w:rPr>
          <w:rFonts w:hint="eastAsia" w:hAnsi="宋体" w:cs="宋体"/>
          <w:szCs w:val="21"/>
          <w:highlight w:val="none"/>
        </w:rPr>
        <w:t>（1）项目名称：</w:t>
      </w:r>
      <w:r>
        <w:rPr>
          <w:rFonts w:hint="eastAsia" w:hAnsi="宋体" w:cs="宋体"/>
          <w:szCs w:val="21"/>
          <w:highlight w:val="none"/>
          <w:u w:val="single"/>
        </w:rPr>
        <w:t xml:space="preserve">                       </w:t>
      </w:r>
      <w:r>
        <w:rPr>
          <w:rFonts w:hint="eastAsia" w:hAnsi="宋体" w:cs="宋体"/>
          <w:szCs w:val="21"/>
          <w:highlight w:val="none"/>
        </w:rPr>
        <w:t xml:space="preserve">                        </w:t>
      </w:r>
    </w:p>
    <w:p>
      <w:pPr>
        <w:pStyle w:val="13"/>
        <w:adjustRightInd w:val="0"/>
        <w:snapToGrid w:val="0"/>
        <w:spacing w:line="360" w:lineRule="auto"/>
        <w:ind w:left="540"/>
        <w:rPr>
          <w:rFonts w:hAnsi="宋体" w:cs="宋体"/>
          <w:szCs w:val="21"/>
          <w:highlight w:val="none"/>
        </w:rPr>
      </w:pPr>
      <w:r>
        <w:rPr>
          <w:rFonts w:hint="eastAsia" w:hAnsi="宋体" w:cs="宋体"/>
          <w:szCs w:val="21"/>
          <w:highlight w:val="none"/>
        </w:rPr>
        <w:t>（2）项目编号：</w:t>
      </w:r>
      <w:r>
        <w:rPr>
          <w:rFonts w:hint="eastAsia" w:hAnsi="宋体" w:cs="宋体"/>
          <w:szCs w:val="21"/>
          <w:highlight w:val="none"/>
          <w:u w:val="single"/>
        </w:rPr>
        <w:t xml:space="preserve">                       </w:t>
      </w:r>
    </w:p>
    <w:p>
      <w:pPr>
        <w:pStyle w:val="13"/>
        <w:adjustRightInd w:val="0"/>
        <w:snapToGrid w:val="0"/>
        <w:spacing w:line="360" w:lineRule="auto"/>
        <w:ind w:left="540"/>
        <w:rPr>
          <w:rFonts w:hAnsi="宋体" w:cs="宋体"/>
          <w:szCs w:val="21"/>
          <w:highlight w:val="none"/>
          <w:u w:val="single"/>
        </w:rPr>
      </w:pPr>
      <w:r>
        <w:rPr>
          <w:rFonts w:hint="eastAsia" w:hAnsi="宋体" w:cs="宋体"/>
          <w:szCs w:val="21"/>
          <w:highlight w:val="none"/>
        </w:rPr>
        <w:t>（3）供应商名称：</w:t>
      </w:r>
      <w:r>
        <w:rPr>
          <w:rFonts w:hint="eastAsia" w:hAnsi="宋体" w:cs="宋体"/>
          <w:szCs w:val="21"/>
          <w:highlight w:val="none"/>
          <w:u w:val="single"/>
        </w:rPr>
        <w:t xml:space="preserve">                    </w:t>
      </w:r>
    </w:p>
    <w:p>
      <w:pPr>
        <w:pStyle w:val="13"/>
        <w:adjustRightInd w:val="0"/>
        <w:snapToGrid w:val="0"/>
        <w:spacing w:line="360" w:lineRule="auto"/>
        <w:ind w:left="540"/>
        <w:rPr>
          <w:rFonts w:hAnsi="宋体" w:cs="宋体"/>
          <w:szCs w:val="21"/>
          <w:highlight w:val="none"/>
        </w:rPr>
      </w:pPr>
      <w:r>
        <w:rPr>
          <w:rFonts w:hint="eastAsia" w:hAnsi="宋体" w:cs="宋体"/>
          <w:szCs w:val="21"/>
          <w:highlight w:val="none"/>
        </w:rPr>
        <w:t>（4）地    址</w:t>
      </w:r>
      <w:r>
        <w:rPr>
          <w:rFonts w:hint="eastAsia" w:hAnsi="宋体" w:cs="宋体"/>
          <w:szCs w:val="21"/>
          <w:highlight w:val="none"/>
          <w:lang w:eastAsia="zh-CN"/>
        </w:rPr>
        <w:t>：</w:t>
      </w:r>
      <w:r>
        <w:rPr>
          <w:rFonts w:hint="eastAsia" w:hAnsi="宋体" w:cs="宋体"/>
          <w:szCs w:val="21"/>
          <w:highlight w:val="none"/>
          <w:u w:val="single"/>
        </w:rPr>
        <w:t xml:space="preserve">                    </w:t>
      </w:r>
      <w:r>
        <w:rPr>
          <w:rFonts w:hint="eastAsia" w:hAnsi="宋体" w:cs="宋体"/>
          <w:szCs w:val="21"/>
          <w:highlight w:val="none"/>
        </w:rPr>
        <w:t xml:space="preserve">                              </w:t>
      </w:r>
    </w:p>
    <w:p>
      <w:pPr>
        <w:pStyle w:val="13"/>
        <w:adjustRightInd w:val="0"/>
        <w:snapToGrid w:val="0"/>
        <w:spacing w:line="360" w:lineRule="auto"/>
        <w:ind w:left="540"/>
        <w:rPr>
          <w:rFonts w:hAnsi="宋体" w:cs="宋体"/>
          <w:szCs w:val="21"/>
          <w:highlight w:val="none"/>
          <w:u w:val="single"/>
        </w:rPr>
      </w:pPr>
      <w:r>
        <w:rPr>
          <w:rFonts w:hint="eastAsia" w:hAnsi="宋体" w:cs="宋体"/>
          <w:szCs w:val="21"/>
          <w:highlight w:val="none"/>
        </w:rPr>
        <w:t>（5）法定代表人或其委托代理人：</w:t>
      </w:r>
      <w:r>
        <w:rPr>
          <w:rFonts w:hint="eastAsia" w:hAnsi="宋体" w:cs="宋体"/>
          <w:szCs w:val="21"/>
          <w:highlight w:val="none"/>
          <w:u w:val="single"/>
        </w:rPr>
        <w:t xml:space="preserve">                   </w:t>
      </w:r>
      <w:r>
        <w:rPr>
          <w:rFonts w:hint="eastAsia" w:hAnsi="宋体" w:cs="宋体"/>
          <w:szCs w:val="21"/>
          <w:highlight w:val="none"/>
        </w:rPr>
        <w:t>（签字或盖章）</w:t>
      </w:r>
    </w:p>
    <w:p>
      <w:pPr>
        <w:pStyle w:val="13"/>
        <w:adjustRightInd w:val="0"/>
        <w:snapToGrid w:val="0"/>
        <w:spacing w:line="360" w:lineRule="auto"/>
        <w:rPr>
          <w:rFonts w:hAnsi="宋体" w:cs="宋体"/>
          <w:b/>
          <w:szCs w:val="21"/>
          <w:highlight w:val="none"/>
        </w:rPr>
      </w:pPr>
      <w:r>
        <w:rPr>
          <w:rFonts w:hint="eastAsia" w:hAnsi="宋体" w:cs="宋体"/>
          <w:szCs w:val="21"/>
          <w:highlight w:val="none"/>
        </w:rPr>
        <w:t xml:space="preserve">    </w:t>
      </w:r>
      <w:r>
        <w:rPr>
          <w:rFonts w:hint="eastAsia" w:hAnsi="宋体" w:cs="宋体"/>
          <w:b/>
          <w:szCs w:val="21"/>
          <w:highlight w:val="none"/>
        </w:rPr>
        <w:t>16.投标截止日期</w:t>
      </w:r>
    </w:p>
    <w:p>
      <w:pPr>
        <w:pStyle w:val="13"/>
        <w:adjustRightInd w:val="0"/>
        <w:snapToGrid w:val="0"/>
        <w:spacing w:line="360" w:lineRule="auto"/>
        <w:rPr>
          <w:rFonts w:hAnsi="宋体" w:cs="宋体"/>
          <w:szCs w:val="21"/>
          <w:highlight w:val="none"/>
        </w:rPr>
      </w:pPr>
      <w:r>
        <w:rPr>
          <w:rFonts w:hint="eastAsia" w:hAnsi="宋体" w:cs="宋体"/>
          <w:szCs w:val="21"/>
          <w:highlight w:val="none"/>
        </w:rPr>
        <w:t xml:space="preserve">    16.1供应商应在不迟于招标文件中规定的截止日期和时间将投标文件密封</w:t>
      </w:r>
      <w:r>
        <w:rPr>
          <w:rFonts w:hint="eastAsia" w:hAnsi="宋体" w:cs="宋体"/>
          <w:szCs w:val="21"/>
          <w:highlight w:val="none"/>
          <w:lang w:eastAsia="zh-CN"/>
        </w:rPr>
        <w:t>送达</w:t>
      </w:r>
      <w:r>
        <w:rPr>
          <w:rFonts w:hint="eastAsia" w:hAnsi="宋体" w:cs="宋体"/>
          <w:szCs w:val="21"/>
          <w:highlight w:val="none"/>
        </w:rPr>
        <w:t>招标文件中规定的地点。</w:t>
      </w:r>
    </w:p>
    <w:p>
      <w:pPr>
        <w:pStyle w:val="13"/>
        <w:adjustRightInd w:val="0"/>
        <w:snapToGrid w:val="0"/>
        <w:spacing w:line="360" w:lineRule="auto"/>
        <w:ind w:firstLine="480"/>
        <w:rPr>
          <w:rFonts w:hAnsi="宋体" w:cs="宋体"/>
          <w:szCs w:val="21"/>
          <w:highlight w:val="none"/>
        </w:rPr>
      </w:pPr>
      <w:r>
        <w:rPr>
          <w:rFonts w:hint="eastAsia" w:hAnsi="宋体" w:cs="宋体"/>
          <w:szCs w:val="21"/>
          <w:highlight w:val="none"/>
        </w:rPr>
        <w:t>16.2采购人可以以补充文件的形式推迟投标截止日期。在此情况下，采购人和供应商受投标截止期制约的所有权利和义务均应延长至新的截止期。</w:t>
      </w:r>
    </w:p>
    <w:p>
      <w:pPr>
        <w:pStyle w:val="13"/>
        <w:adjustRightInd w:val="0"/>
        <w:snapToGrid w:val="0"/>
        <w:spacing w:line="360" w:lineRule="auto"/>
        <w:ind w:firstLine="480"/>
        <w:rPr>
          <w:rFonts w:hAnsi="宋体" w:cs="宋体"/>
          <w:szCs w:val="21"/>
          <w:highlight w:val="none"/>
        </w:rPr>
      </w:pPr>
      <w:r>
        <w:rPr>
          <w:rFonts w:hint="eastAsia" w:hAnsi="宋体" w:cs="宋体"/>
          <w:szCs w:val="21"/>
          <w:highlight w:val="none"/>
        </w:rPr>
        <w:t>16.3采购人不接受以邮寄、传真和电子邮件方式提交的投标文件及投标文件的修改文件。</w:t>
      </w:r>
    </w:p>
    <w:p>
      <w:pPr>
        <w:pStyle w:val="13"/>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17.逾期的投标文件</w:t>
      </w:r>
    </w:p>
    <w:p>
      <w:pPr>
        <w:pStyle w:val="13"/>
        <w:tabs>
          <w:tab w:val="left" w:pos="1080"/>
        </w:tabs>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在投标截止时间后送达的投标文件为逾期的投标文件。采购人或采购代理机构将拒绝并退还逾期的投标文件。</w:t>
      </w:r>
    </w:p>
    <w:p>
      <w:pPr>
        <w:pStyle w:val="13"/>
        <w:tabs>
          <w:tab w:val="left" w:pos="1080"/>
        </w:tabs>
        <w:adjustRightInd w:val="0"/>
        <w:snapToGrid w:val="0"/>
        <w:spacing w:line="360" w:lineRule="auto"/>
        <w:ind w:firstLine="422" w:firstLineChars="200"/>
        <w:rPr>
          <w:rFonts w:hAnsi="宋体" w:cs="宋体"/>
          <w:szCs w:val="21"/>
          <w:highlight w:val="none"/>
        </w:rPr>
      </w:pPr>
      <w:r>
        <w:rPr>
          <w:rFonts w:hint="eastAsia" w:hAnsi="宋体" w:cs="宋体"/>
          <w:b/>
          <w:szCs w:val="21"/>
          <w:highlight w:val="none"/>
        </w:rPr>
        <w:t xml:space="preserve">18.投标文件的修改、撤回和撤销 </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18.1供应商在提交投标文件以后，在规定的投标截止时间之前，可对其进行修改、撤回和撤销，但必须让采购人在投标截止时间前收到该修改、撤回和撤销的书面通知，该通知须由法定代表人或其委托代理人签字或盖章。</w:t>
      </w:r>
    </w:p>
    <w:p>
      <w:pPr>
        <w:pStyle w:val="13"/>
        <w:adjustRightInd w:val="0"/>
        <w:snapToGrid w:val="0"/>
        <w:spacing w:line="360" w:lineRule="auto"/>
        <w:rPr>
          <w:rFonts w:hAnsi="宋体" w:cs="宋体"/>
          <w:szCs w:val="21"/>
          <w:highlight w:val="none"/>
        </w:rPr>
      </w:pPr>
      <w:r>
        <w:rPr>
          <w:rFonts w:hint="eastAsia" w:hAnsi="宋体" w:cs="宋体"/>
          <w:szCs w:val="21"/>
          <w:highlight w:val="none"/>
        </w:rPr>
        <w:t xml:space="preserve">    18.2 投标文件的修改文件应按规定编写，正、副本分别密封，并按第15.2条规定标记，还须注明“修改投标文件”和“开标前不得启封”字样。修改文件须在投标截止时间前送达采购代理机构。</w:t>
      </w:r>
    </w:p>
    <w:p>
      <w:pPr>
        <w:pStyle w:val="13"/>
        <w:adjustRightInd w:val="0"/>
        <w:snapToGrid w:val="0"/>
        <w:spacing w:line="360" w:lineRule="auto"/>
        <w:rPr>
          <w:rFonts w:hAnsi="宋体" w:cs="宋体"/>
          <w:szCs w:val="21"/>
          <w:highlight w:val="none"/>
        </w:rPr>
      </w:pPr>
      <w:r>
        <w:rPr>
          <w:rFonts w:hint="eastAsia" w:hAnsi="宋体" w:cs="宋体"/>
          <w:szCs w:val="21"/>
          <w:highlight w:val="none"/>
        </w:rPr>
        <w:t xml:space="preserve">    18.3投标截止时间之后，供应商不得对其投标文件做任何修改。</w:t>
      </w:r>
    </w:p>
    <w:p>
      <w:pPr>
        <w:pStyle w:val="13"/>
        <w:adjustRightInd w:val="0"/>
        <w:snapToGrid w:val="0"/>
        <w:spacing w:line="360" w:lineRule="auto"/>
        <w:ind w:firstLine="450"/>
        <w:rPr>
          <w:rFonts w:hAnsi="宋体" w:cs="宋体"/>
          <w:sz w:val="24"/>
          <w:szCs w:val="24"/>
          <w:highlight w:val="none"/>
        </w:rPr>
      </w:pPr>
      <w:r>
        <w:rPr>
          <w:rFonts w:hint="eastAsia" w:hAnsi="宋体" w:cs="宋体"/>
          <w:szCs w:val="21"/>
          <w:highlight w:val="none"/>
        </w:rPr>
        <w:t>18.4 供应商不得在投标截止时间起至投标有效期满前撤回和撤销投标文件。</w:t>
      </w:r>
    </w:p>
    <w:p>
      <w:pPr>
        <w:pStyle w:val="4"/>
        <w:bidi w:val="0"/>
        <w:rPr>
          <w:highlight w:val="none"/>
        </w:rPr>
      </w:pPr>
      <w:bookmarkStart w:id="12" w:name="_Toc2020"/>
      <w:bookmarkStart w:id="13" w:name="_Toc26602"/>
      <w:r>
        <w:rPr>
          <w:rFonts w:hint="eastAsia"/>
          <w:highlight w:val="none"/>
        </w:rPr>
        <w:t>E  开标与评标</w:t>
      </w:r>
      <w:bookmarkEnd w:id="12"/>
      <w:bookmarkEnd w:id="13"/>
    </w:p>
    <w:p>
      <w:pPr>
        <w:pStyle w:val="13"/>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19.开标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主持人按下列程序进行开标：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（2）公布在投标截止时间前递交投标文件的供应商名称；</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（3）宣布开标人、唱标人、记录人、监标人等有关人员名单；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（4）各供应商代表携带CA锁，解密上传投标文件；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（5）供应商代表检查投标文件的密封情况，并签字确认；</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（6）开启投标文件，并电音唱标做开标记录；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（7）供应商代表、监标人、记录人等有关人员在开标记录上签字确认；</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（8）投标文件送交评标委员会进行评审；</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（9）开标结束。</w:t>
      </w:r>
    </w:p>
    <w:p>
      <w:pPr>
        <w:adjustRightInd w:val="0"/>
        <w:snapToGrid w:val="0"/>
        <w:spacing w:line="360" w:lineRule="auto"/>
        <w:ind w:firstLine="417" w:firstLineChars="198"/>
        <w:rPr>
          <w:rFonts w:ascii="宋体" w:hAnsi="宋体" w:cs="宋体"/>
          <w:b/>
          <w:szCs w:val="21"/>
          <w:highlight w:val="none"/>
        </w:rPr>
      </w:pPr>
      <w:r>
        <w:rPr>
          <w:rFonts w:hint="eastAsia" w:ascii="宋体" w:hAnsi="宋体" w:cs="宋体"/>
          <w:b/>
          <w:szCs w:val="21"/>
          <w:highlight w:val="none"/>
        </w:rPr>
        <w:t>20.评标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20.1评标委员会严格按照招标文件规定的评标方法及标准对各投标文件进行评审。</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20.2评标委员会负责具体评标事务，并独立履行下列职责：</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（1）审查、评价投标文件是否符合招标文件的商务、技术、服务等实质性要求；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（2）要求投标人对投标文件有关事项作出澄清或者说明；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（3）对投标文件进行比较和评价；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（4）推荐中标候选人名单，或者根据采购人委托直接确定中标人；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（5）向采购人、采购代理机构或者有关部门报告评标中发现的违法行为。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20.3采购代理机构负责组织评标工作并履行下列职责：</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（1）核对评标专家身份和采购人代表授权函，对评审专家在政府采购活动中的职责履行情况予以记录，并及时将有关违法违规行为向财政部门报告；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（2）宣布评标纪律；</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（3）公布投标人名单，告知评标专家应当回避的情形；</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（4）组织评标委员会推选评标组长，采购人代表不得担任组长；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（5）在评标期间采取必要的</w:t>
      </w:r>
      <w:r>
        <w:rPr>
          <w:rFonts w:hint="eastAsia" w:ascii="宋体" w:hAnsi="宋体" w:cs="宋体"/>
          <w:szCs w:val="21"/>
          <w:highlight w:val="none"/>
          <w:lang w:eastAsia="zh-CN"/>
        </w:rPr>
        <w:t>通信管理</w:t>
      </w:r>
      <w:r>
        <w:rPr>
          <w:rFonts w:hint="eastAsia" w:ascii="宋体" w:hAnsi="宋体" w:cs="宋体"/>
          <w:szCs w:val="21"/>
          <w:highlight w:val="none"/>
        </w:rPr>
        <w:t>措施，保证评标活动不受外界干扰；</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（6）根据评标委员会的要求介绍政府采购相关政策法规、招标文件；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（7）维护评标秩序，监督评标委员会依照评标文件规定的评审程序、方法和标准进行独立评审，对采购人代表、评审专家的倾向性言论或违法违规行为及时制止和纠正；</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（8）核对评标结果，有《政府采购货物和服务招标投标管理办法》第六十四条规定情形的，要求评标委员会复核或书面说明理由，评标委员会拒绝的，应予记录并向本级财政部门报告；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（9）评审工作完成后，按照规定向评审专家支付劳务报酬和异地评审差旅费，不得向评审专家以外的其他人员支付评审劳务报酬；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（10）处理与评标有关的其他事项。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20.4采购人可以在评标前介绍项目背景和采购需求，介绍内容不得含有歧视性、倾向性意见，不得超出招标文件所述范围。介绍应当提交书面介绍材料，并随采购文件一并存档。</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20.5评标办法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采用综合评分法，评标委员会按照第三章评审原则及标准内容综合评估赋分、汇总。供应商最终</w:t>
      </w:r>
      <w:r>
        <w:rPr>
          <w:rFonts w:hint="eastAsia" w:ascii="宋体" w:hAnsi="宋体" w:cs="宋体"/>
          <w:szCs w:val="21"/>
          <w:highlight w:val="none"/>
          <w:lang w:eastAsia="zh-CN"/>
        </w:rPr>
        <w:t>得</w:t>
      </w:r>
      <w:r>
        <w:rPr>
          <w:rFonts w:hint="eastAsia" w:ascii="宋体" w:hAnsi="宋体" w:cs="宋体"/>
          <w:szCs w:val="21"/>
          <w:highlight w:val="none"/>
        </w:rPr>
        <w:t>分为评标委员会汇总的分值。投标文件按照得分由高到低进行排序，推荐三名中标候选供应商。</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20.6评审程序：</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按照资格审查、符合性审查、综合评估打分、排序的顺序分步骤进行评审。</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20.6.1</w:t>
      </w:r>
      <w:r>
        <w:rPr>
          <w:rFonts w:hint="eastAsia" w:ascii="宋体" w:hAnsi="宋体" w:cs="宋体"/>
          <w:b/>
          <w:szCs w:val="21"/>
          <w:highlight w:val="none"/>
        </w:rPr>
        <w:t>资格审查：</w:t>
      </w:r>
      <w:r>
        <w:rPr>
          <w:rFonts w:hint="eastAsia" w:ascii="宋体" w:hAnsi="宋体" w:cs="宋体"/>
          <w:szCs w:val="21"/>
          <w:highlight w:val="none"/>
        </w:rPr>
        <w:t>采购人或采购代理机构对各供应商递交的投标资格证明材料进行审查，</w:t>
      </w:r>
      <w:r>
        <w:rPr>
          <w:rFonts w:hint="eastAsia" w:ascii="宋体" w:hAnsi="宋体" w:cs="宋体"/>
          <w:szCs w:val="21"/>
          <w:highlight w:val="none"/>
          <w:lang w:val="zh-CN"/>
        </w:rPr>
        <w:t>未提供或提供不全的或有一项因素不符合审查标准的，视为资格审查不合格，</w:t>
      </w:r>
      <w:r>
        <w:rPr>
          <w:rFonts w:hint="eastAsia" w:ascii="宋体" w:hAnsi="宋体" w:cs="宋体"/>
          <w:szCs w:val="21"/>
          <w:highlight w:val="none"/>
        </w:rPr>
        <w:t>审查标准如下：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25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adjustRightInd w:val="0"/>
              <w:snapToGrid w:val="0"/>
              <w:spacing w:line="240" w:lineRule="auto"/>
              <w:jc w:val="center"/>
              <w:rPr>
                <w:rFonts w:ascii="宋体" w:hAnsi="宋体" w:cs="宋体"/>
                <w:b/>
                <w:sz w:val="21"/>
                <w:szCs w:val="21"/>
                <w:highlight w:val="none"/>
              </w:rPr>
            </w:pPr>
            <w:r>
              <w:rPr>
                <w:rFonts w:hint="eastAsia" w:ascii="宋体" w:hAnsi="宋体" w:cs="宋体"/>
                <w:b/>
                <w:sz w:val="21"/>
                <w:szCs w:val="21"/>
                <w:highlight w:val="none"/>
              </w:rPr>
              <w:t>序号</w:t>
            </w:r>
          </w:p>
        </w:tc>
        <w:tc>
          <w:tcPr>
            <w:tcW w:w="7208" w:type="dxa"/>
            <w:vAlign w:val="center"/>
          </w:tcPr>
          <w:p>
            <w:pPr>
              <w:adjustRightInd w:val="0"/>
              <w:snapToGrid w:val="0"/>
              <w:spacing w:line="240" w:lineRule="auto"/>
              <w:jc w:val="center"/>
              <w:rPr>
                <w:rFonts w:ascii="宋体" w:hAnsi="宋体" w:cs="宋体"/>
                <w:b/>
                <w:sz w:val="21"/>
                <w:szCs w:val="21"/>
                <w:highlight w:val="none"/>
              </w:rPr>
            </w:pPr>
            <w:r>
              <w:rPr>
                <w:rFonts w:hint="eastAsia" w:ascii="宋体" w:hAnsi="宋体" w:cs="宋体"/>
                <w:b/>
                <w:sz w:val="21"/>
                <w:szCs w:val="21"/>
                <w:highlight w:val="none"/>
              </w:rPr>
              <w:t>项目内容</w:t>
            </w:r>
          </w:p>
        </w:tc>
        <w:tc>
          <w:tcPr>
            <w:tcW w:w="1136" w:type="dxa"/>
            <w:vAlign w:val="center"/>
          </w:tcPr>
          <w:p>
            <w:pPr>
              <w:adjustRightInd w:val="0"/>
              <w:snapToGrid w:val="0"/>
              <w:spacing w:line="240" w:lineRule="auto"/>
              <w:jc w:val="center"/>
              <w:rPr>
                <w:rFonts w:ascii="宋体" w:hAnsi="宋体" w:cs="宋体"/>
                <w:b/>
                <w:sz w:val="21"/>
                <w:szCs w:val="21"/>
                <w:highlight w:val="none"/>
              </w:rPr>
            </w:pPr>
            <w:r>
              <w:rPr>
                <w:rFonts w:hint="eastAsia" w:ascii="宋体"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autoSpaceDE w:val="0"/>
              <w:autoSpaceDN w:val="0"/>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7208" w:type="dxa"/>
            <w:vAlign w:val="center"/>
          </w:tcPr>
          <w:p>
            <w:pPr>
              <w:adjustRightInd w:val="0"/>
              <w:snapToGrid w:val="0"/>
              <w:spacing w:line="240" w:lineRule="auto"/>
              <w:jc w:val="left"/>
              <w:rPr>
                <w:rFonts w:ascii="宋体" w:hAnsi="宋体" w:cs="宋体"/>
                <w:snapToGrid w:val="0"/>
                <w:sz w:val="21"/>
                <w:szCs w:val="21"/>
                <w:highlight w:val="none"/>
              </w:rPr>
            </w:pPr>
            <w:r>
              <w:rPr>
                <w:rFonts w:hint="eastAsia" w:ascii="宋体" w:hAnsi="宋体" w:cs="宋体"/>
                <w:snapToGrid w:val="0"/>
                <w:sz w:val="21"/>
                <w:szCs w:val="21"/>
                <w:highlight w:val="none"/>
              </w:rPr>
              <w:t>具有独立承担民事责任能力的法人、其他组织或自然人，并出具合法有效的营业执照或事业单位法人证书等国家规定的相关证明资料，自然人参与的提供其身份证明</w:t>
            </w:r>
          </w:p>
        </w:tc>
        <w:tc>
          <w:tcPr>
            <w:tcW w:w="1136" w:type="dxa"/>
            <w:vAlign w:val="center"/>
          </w:tcPr>
          <w:p>
            <w:pPr>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7208" w:type="dxa"/>
            <w:vAlign w:val="center"/>
          </w:tcPr>
          <w:p>
            <w:pPr>
              <w:adjustRightInd w:val="0"/>
              <w:snapToGrid w:val="0"/>
              <w:spacing w:line="240" w:lineRule="auto"/>
              <w:jc w:val="left"/>
              <w:rPr>
                <w:rFonts w:ascii="宋体" w:hAnsi="宋体" w:cs="宋体"/>
                <w:sz w:val="21"/>
                <w:szCs w:val="21"/>
                <w:highlight w:val="none"/>
              </w:rPr>
            </w:pPr>
            <w:r>
              <w:rPr>
                <w:rFonts w:hint="eastAsia" w:ascii="宋体" w:hAnsi="宋体" w:cs="宋体"/>
                <w:sz w:val="21"/>
                <w:szCs w:val="21"/>
                <w:highlight w:val="none"/>
              </w:rPr>
              <w:t>法定代表人授权书和被授权人的身份证及单位证明；法定代表人参加投标时，须提供本人身份证</w:t>
            </w:r>
          </w:p>
        </w:tc>
        <w:tc>
          <w:tcPr>
            <w:tcW w:w="1136" w:type="dxa"/>
            <w:vAlign w:val="center"/>
          </w:tcPr>
          <w:p>
            <w:pPr>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tabs>
                <w:tab w:val="left" w:pos="6635"/>
              </w:tabs>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7208" w:type="dxa"/>
            <w:vAlign w:val="center"/>
          </w:tcPr>
          <w:p>
            <w:pPr>
              <w:adjustRightInd w:val="0"/>
              <w:snapToGrid w:val="0"/>
              <w:spacing w:line="240" w:lineRule="auto"/>
              <w:jc w:val="left"/>
              <w:rPr>
                <w:rFonts w:ascii="宋体" w:hAnsi="宋体" w:cs="宋体"/>
                <w:sz w:val="21"/>
                <w:szCs w:val="21"/>
                <w:highlight w:val="none"/>
              </w:rPr>
            </w:pPr>
            <w:r>
              <w:rPr>
                <w:rFonts w:hint="eastAsia" w:ascii="宋体" w:hAnsi="宋体" w:cs="宋体"/>
                <w:sz w:val="21"/>
                <w:szCs w:val="21"/>
                <w:highlight w:val="none"/>
              </w:rPr>
              <w:t>社会保障资金缴纳证明</w:t>
            </w:r>
            <w:r>
              <w:rPr>
                <w:rFonts w:hint="eastAsia" w:ascii="宋体" w:hAnsi="宋体" w:cs="宋体"/>
                <w:sz w:val="21"/>
                <w:szCs w:val="21"/>
                <w:highlight w:val="none"/>
                <w:lang w:eastAsia="zh-CN"/>
              </w:rPr>
              <w:t>：</w:t>
            </w:r>
            <w:r>
              <w:rPr>
                <w:rFonts w:hint="eastAsia" w:ascii="宋体" w:hAnsi="宋体" w:cs="宋体"/>
                <w:sz w:val="21"/>
                <w:szCs w:val="21"/>
                <w:highlight w:val="none"/>
              </w:rPr>
              <w:t>提供2020年至今已缴纳连续3个月的社会保障资金缴存单据或社保机构开具的社会保险参保缴费情况证明，依法不需要缴纳社会保障资金的单位应提供相关证明材料</w:t>
            </w:r>
          </w:p>
        </w:tc>
        <w:tc>
          <w:tcPr>
            <w:tcW w:w="1136" w:type="dxa"/>
            <w:vAlign w:val="center"/>
          </w:tcPr>
          <w:p>
            <w:pPr>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tabs>
                <w:tab w:val="left" w:pos="6635"/>
              </w:tabs>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4</w:t>
            </w:r>
          </w:p>
        </w:tc>
        <w:tc>
          <w:tcPr>
            <w:tcW w:w="7208" w:type="dxa"/>
            <w:vAlign w:val="center"/>
          </w:tcPr>
          <w:p>
            <w:pPr>
              <w:adjustRightInd w:val="0"/>
              <w:snapToGrid w:val="0"/>
              <w:spacing w:line="240" w:lineRule="auto"/>
              <w:jc w:val="left"/>
              <w:rPr>
                <w:rFonts w:ascii="宋体" w:hAnsi="宋体" w:cs="宋体"/>
                <w:sz w:val="21"/>
                <w:szCs w:val="21"/>
                <w:highlight w:val="none"/>
              </w:rPr>
            </w:pPr>
            <w:r>
              <w:rPr>
                <w:rFonts w:hint="eastAsia" w:ascii="宋体" w:hAnsi="宋体" w:cs="宋体"/>
                <w:sz w:val="21"/>
                <w:szCs w:val="21"/>
                <w:highlight w:val="none"/>
              </w:rPr>
              <w:t>税收缴纳证明</w:t>
            </w:r>
            <w:r>
              <w:rPr>
                <w:rFonts w:hint="eastAsia" w:ascii="宋体" w:hAnsi="宋体" w:cs="宋体"/>
                <w:sz w:val="21"/>
                <w:szCs w:val="21"/>
                <w:highlight w:val="none"/>
                <w:lang w:eastAsia="zh-CN"/>
              </w:rPr>
              <w:t>：</w:t>
            </w:r>
            <w:r>
              <w:rPr>
                <w:rFonts w:hint="eastAsia" w:ascii="宋体" w:hAnsi="宋体" w:cs="宋体"/>
                <w:sz w:val="21"/>
                <w:szCs w:val="21"/>
                <w:highlight w:val="none"/>
              </w:rPr>
              <w:t>提供2020年至今已缴纳连续3个月的纳税证明或完税证明（纳税证明或完税证明上应有代收机构或税务机关的公章或业务章，成立时间至提交投标文件截止时间不足年的可提供成立后任意时段的税收证明），依法免税的单位应提供相关证明材料</w:t>
            </w:r>
          </w:p>
        </w:tc>
        <w:tc>
          <w:tcPr>
            <w:tcW w:w="1136" w:type="dxa"/>
            <w:vAlign w:val="center"/>
          </w:tcPr>
          <w:p>
            <w:pPr>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tabs>
                <w:tab w:val="left" w:pos="6635"/>
              </w:tabs>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5</w:t>
            </w:r>
          </w:p>
        </w:tc>
        <w:tc>
          <w:tcPr>
            <w:tcW w:w="7208" w:type="dxa"/>
            <w:vAlign w:val="center"/>
          </w:tcPr>
          <w:p>
            <w:pPr>
              <w:adjustRightInd w:val="0"/>
              <w:snapToGrid w:val="0"/>
              <w:spacing w:line="240" w:lineRule="auto"/>
              <w:jc w:val="left"/>
              <w:rPr>
                <w:rFonts w:ascii="宋体" w:hAnsi="宋体" w:cs="宋体"/>
                <w:sz w:val="21"/>
                <w:szCs w:val="21"/>
                <w:highlight w:val="none"/>
              </w:rPr>
            </w:pPr>
            <w:r>
              <w:rPr>
                <w:rFonts w:hint="eastAsia" w:ascii="宋体" w:hAnsi="宋体" w:cs="宋体"/>
                <w:sz w:val="21"/>
                <w:szCs w:val="21"/>
                <w:highlight w:val="none"/>
              </w:rPr>
              <w:t>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cs="宋体"/>
                <w:sz w:val="21"/>
                <w:szCs w:val="21"/>
                <w:highlight w:val="none"/>
                <w:lang w:eastAsia="zh-CN"/>
              </w:rPr>
              <w:t>（</w:t>
            </w:r>
            <w:r>
              <w:rPr>
                <w:rFonts w:hint="eastAsia" w:ascii="宋体" w:hAnsi="宋体" w:cs="宋体"/>
                <w:sz w:val="21"/>
                <w:szCs w:val="21"/>
                <w:highlight w:val="none"/>
              </w:rPr>
              <w:t>最终结果以开标现场在信用中国及中国政府采购网查询公示结果为准）</w:t>
            </w:r>
          </w:p>
        </w:tc>
        <w:tc>
          <w:tcPr>
            <w:tcW w:w="1136" w:type="dxa"/>
            <w:vAlign w:val="center"/>
          </w:tcPr>
          <w:p>
            <w:pPr>
              <w:tabs>
                <w:tab w:val="left" w:pos="1180"/>
              </w:tabs>
              <w:adjustRightInd w:val="0"/>
              <w:snapToGrid w:val="0"/>
              <w:spacing w:line="240" w:lineRule="auto"/>
              <w:jc w:val="center"/>
              <w:rPr>
                <w:rFonts w:ascii="宋体" w:hAnsi="宋体" w:cs="宋体"/>
                <w:snapToGrid w:val="0"/>
                <w:sz w:val="21"/>
                <w:szCs w:val="21"/>
                <w:highlight w:val="none"/>
              </w:rPr>
            </w:pPr>
            <w:r>
              <w:rPr>
                <w:rFonts w:hint="eastAsia" w:ascii="宋体" w:hAnsi="宋体" w:cs="宋体"/>
                <w:snapToGrid w:val="0"/>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tabs>
                <w:tab w:val="left" w:pos="6635"/>
              </w:tabs>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6</w:t>
            </w:r>
          </w:p>
        </w:tc>
        <w:tc>
          <w:tcPr>
            <w:tcW w:w="7208" w:type="dxa"/>
            <w:vAlign w:val="center"/>
          </w:tcPr>
          <w:p>
            <w:pPr>
              <w:adjustRightInd w:val="0"/>
              <w:snapToGrid w:val="0"/>
              <w:spacing w:line="240" w:lineRule="auto"/>
              <w:jc w:val="left"/>
              <w:rPr>
                <w:rFonts w:ascii="宋体" w:hAnsi="宋体" w:cs="宋体"/>
                <w:sz w:val="21"/>
                <w:szCs w:val="21"/>
                <w:highlight w:val="none"/>
              </w:rPr>
            </w:pPr>
            <w:r>
              <w:rPr>
                <w:rFonts w:hint="eastAsia" w:ascii="宋体" w:hAnsi="宋体" w:cs="宋体"/>
                <w:sz w:val="21"/>
                <w:szCs w:val="21"/>
                <w:highlight w:val="none"/>
              </w:rPr>
              <w:t>提供具有履行本合同所必需的设备和专业技术能力的证明，须附相关证明材料或书面声明</w:t>
            </w:r>
          </w:p>
        </w:tc>
        <w:tc>
          <w:tcPr>
            <w:tcW w:w="1136" w:type="dxa"/>
            <w:vAlign w:val="center"/>
          </w:tcPr>
          <w:p>
            <w:pPr>
              <w:adjustRightInd w:val="0"/>
              <w:snapToGrid w:val="0"/>
              <w:spacing w:line="240" w:lineRule="auto"/>
              <w:jc w:val="center"/>
              <w:rPr>
                <w:rFonts w:ascii="宋体" w:hAnsi="宋体" w:cs="宋体"/>
                <w:sz w:val="21"/>
                <w:szCs w:val="21"/>
                <w:highlight w:val="none"/>
              </w:rPr>
            </w:pPr>
            <w:r>
              <w:rPr>
                <w:rFonts w:hint="eastAsia" w:ascii="宋体" w:hAnsi="宋体" w:cs="宋体"/>
                <w:snapToGrid w:val="0"/>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tabs>
                <w:tab w:val="left" w:pos="6635"/>
              </w:tabs>
              <w:adjustRightInd w:val="0"/>
              <w:snapToGrid w:val="0"/>
              <w:spacing w:line="240" w:lineRule="auto"/>
              <w:jc w:val="center"/>
              <w:rPr>
                <w:rFonts w:ascii="宋体" w:hAnsi="宋体" w:cs="宋体"/>
                <w:sz w:val="21"/>
                <w:szCs w:val="21"/>
                <w:highlight w:val="none"/>
              </w:rPr>
            </w:pPr>
            <w:r>
              <w:rPr>
                <w:rFonts w:hint="eastAsia" w:ascii="宋体" w:hAnsi="宋体" w:cs="宋体"/>
                <w:sz w:val="21"/>
                <w:szCs w:val="21"/>
                <w:highlight w:val="none"/>
              </w:rPr>
              <w:t>7</w:t>
            </w:r>
          </w:p>
        </w:tc>
        <w:tc>
          <w:tcPr>
            <w:tcW w:w="7208" w:type="dxa"/>
            <w:vAlign w:val="center"/>
          </w:tcPr>
          <w:p>
            <w:pPr>
              <w:adjustRightInd w:val="0"/>
              <w:snapToGrid w:val="0"/>
              <w:spacing w:line="240" w:lineRule="auto"/>
              <w:jc w:val="left"/>
              <w:rPr>
                <w:rFonts w:ascii="宋体" w:hAnsi="宋体" w:cs="宋体"/>
                <w:sz w:val="21"/>
                <w:szCs w:val="21"/>
                <w:highlight w:val="none"/>
              </w:rPr>
            </w:pPr>
            <w:r>
              <w:rPr>
                <w:rFonts w:hint="eastAsia" w:ascii="宋体" w:hAnsi="宋体" w:cs="宋体"/>
                <w:sz w:val="21"/>
                <w:szCs w:val="21"/>
                <w:highlight w:val="none"/>
              </w:rPr>
              <w:t>财务状况报告：提供2019、2020年的</w:t>
            </w:r>
            <w:r>
              <w:rPr>
                <w:rFonts w:hint="eastAsia" w:ascii="宋体" w:hAnsi="宋体" w:cs="宋体"/>
                <w:sz w:val="21"/>
                <w:szCs w:val="21"/>
                <w:highlight w:val="none"/>
                <w:lang w:eastAsia="zh-CN"/>
              </w:rPr>
              <w:t>经审计的财务审计报告</w:t>
            </w:r>
            <w:r>
              <w:rPr>
                <w:rFonts w:hint="eastAsia" w:ascii="宋体" w:hAnsi="宋体" w:cs="宋体"/>
                <w:sz w:val="21"/>
                <w:szCs w:val="21"/>
                <w:highlight w:val="none"/>
              </w:rPr>
              <w:t>（成立时间至提交投标文件截止时间不足年的可提供成立后任意时段的资产负债表）或开标前3个月内其基本开户银行出具的资信证明</w:t>
            </w:r>
          </w:p>
        </w:tc>
        <w:tc>
          <w:tcPr>
            <w:tcW w:w="1136" w:type="dxa"/>
            <w:vAlign w:val="center"/>
          </w:tcPr>
          <w:p>
            <w:pPr>
              <w:adjustRightInd w:val="0"/>
              <w:snapToGrid w:val="0"/>
              <w:spacing w:line="240" w:lineRule="auto"/>
              <w:jc w:val="center"/>
              <w:rPr>
                <w:rFonts w:ascii="宋体" w:hAnsi="宋体" w:cs="宋体"/>
                <w:snapToGrid w:val="0"/>
                <w:sz w:val="21"/>
                <w:szCs w:val="21"/>
                <w:highlight w:val="none"/>
              </w:rPr>
            </w:pPr>
            <w:r>
              <w:rPr>
                <w:rFonts w:hint="eastAsia" w:ascii="宋体" w:hAnsi="宋体" w:cs="宋体"/>
                <w:snapToGrid w:val="0"/>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tabs>
                <w:tab w:val="left" w:pos="6635"/>
              </w:tabs>
              <w:adjustRightInd w:val="0"/>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7208" w:type="dxa"/>
            <w:vAlign w:val="center"/>
          </w:tcPr>
          <w:p>
            <w:pPr>
              <w:adjustRightInd w:val="0"/>
              <w:snapToGrid w:val="0"/>
              <w:spacing w:line="240" w:lineRule="auto"/>
              <w:jc w:val="left"/>
              <w:rPr>
                <w:rFonts w:hint="eastAsia" w:ascii="宋体" w:hAnsi="宋体" w:cs="宋体"/>
                <w:sz w:val="21"/>
                <w:szCs w:val="21"/>
                <w:highlight w:val="none"/>
              </w:rPr>
            </w:pPr>
            <w:r>
              <w:rPr>
                <w:rFonts w:hint="eastAsia" w:ascii="宋体" w:hAnsi="宋体" w:cs="宋体"/>
                <w:sz w:val="21"/>
                <w:szCs w:val="21"/>
                <w:highlight w:val="none"/>
                <w:lang w:eastAsia="zh-CN"/>
              </w:rPr>
              <w:t>保证金</w:t>
            </w:r>
            <w:r>
              <w:rPr>
                <w:rFonts w:hint="eastAsia" w:ascii="宋体" w:hAnsi="宋体" w:cs="宋体"/>
                <w:sz w:val="21"/>
                <w:szCs w:val="21"/>
                <w:highlight w:val="none"/>
                <w:lang w:val="en-US" w:eastAsia="zh-CN"/>
              </w:rPr>
              <w:t>缴纳</w:t>
            </w:r>
            <w:r>
              <w:rPr>
                <w:rFonts w:hint="eastAsia" w:ascii="宋体" w:hAnsi="宋体" w:cs="宋体"/>
                <w:sz w:val="21"/>
                <w:szCs w:val="21"/>
                <w:highlight w:val="none"/>
                <w:lang w:eastAsia="zh-CN"/>
              </w:rPr>
              <w:t>凭证</w:t>
            </w:r>
          </w:p>
        </w:tc>
        <w:tc>
          <w:tcPr>
            <w:tcW w:w="1136" w:type="dxa"/>
            <w:vAlign w:val="center"/>
          </w:tcPr>
          <w:p>
            <w:pPr>
              <w:adjustRightInd w:val="0"/>
              <w:snapToGrid w:val="0"/>
              <w:spacing w:line="240" w:lineRule="auto"/>
              <w:jc w:val="center"/>
              <w:rPr>
                <w:rFonts w:hint="eastAsia" w:ascii="宋体" w:hAnsi="宋体" w:cs="宋体"/>
                <w:snapToGrid w:val="0"/>
                <w:sz w:val="21"/>
                <w:szCs w:val="21"/>
                <w:highlight w:val="none"/>
              </w:rPr>
            </w:pPr>
            <w:r>
              <w:rPr>
                <w:rFonts w:hint="eastAsia" w:ascii="宋体" w:hAnsi="宋体" w:cs="宋体"/>
                <w:snapToGrid w:val="0"/>
                <w:sz w:val="21"/>
                <w:szCs w:val="21"/>
                <w:highlight w:val="none"/>
              </w:rPr>
              <w:t>符合要求</w:t>
            </w:r>
          </w:p>
        </w:tc>
      </w:tr>
    </w:tbl>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20.</w:t>
      </w:r>
      <w:r>
        <w:rPr>
          <w:rFonts w:hint="eastAsia" w:ascii="宋体" w:hAnsi="宋体" w:cs="宋体"/>
          <w:szCs w:val="21"/>
          <w:highlight w:val="none"/>
        </w:rPr>
        <w:t>6</w:t>
      </w:r>
      <w:r>
        <w:rPr>
          <w:rFonts w:hint="eastAsia" w:ascii="宋体" w:hAnsi="宋体" w:cs="宋体"/>
          <w:szCs w:val="21"/>
          <w:highlight w:val="none"/>
          <w:lang w:val="zh-CN"/>
        </w:rPr>
        <w:t>.2</w:t>
      </w:r>
      <w:r>
        <w:rPr>
          <w:rFonts w:hint="eastAsia" w:ascii="宋体" w:hAnsi="宋体" w:cs="宋体"/>
          <w:b/>
          <w:bCs/>
          <w:szCs w:val="21"/>
          <w:highlight w:val="none"/>
          <w:lang w:val="zh-CN"/>
        </w:rPr>
        <w:t>投标文件符合性审查：</w:t>
      </w:r>
      <w:r>
        <w:rPr>
          <w:rFonts w:hint="eastAsia" w:ascii="宋体" w:hAnsi="宋体" w:cs="宋体"/>
          <w:szCs w:val="21"/>
          <w:highlight w:val="none"/>
          <w:lang w:val="zh-CN"/>
        </w:rPr>
        <w:t>依据招标文件的规定，由评标委员会对投标文件的有效性、完整性和对招标文件的响应程度进行审查，以确定是否对招标文件的实质性内容作出响应。审查办法如下（</w:t>
      </w:r>
      <w:r>
        <w:rPr>
          <w:rFonts w:hint="eastAsia" w:ascii="宋体" w:hAnsi="宋体" w:cs="宋体"/>
          <w:szCs w:val="21"/>
          <w:highlight w:val="none"/>
        </w:rPr>
        <w:t>有一项因素不符合审查标准的，不能通过符合性审查</w:t>
      </w:r>
      <w:r>
        <w:rPr>
          <w:rFonts w:hint="eastAsia" w:ascii="宋体" w:hAnsi="宋体" w:cs="宋体"/>
          <w:szCs w:val="21"/>
          <w:highlight w:val="none"/>
          <w:lang w:val="zh-CN"/>
        </w:rPr>
        <w:t>）：</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43"/>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787"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lang w:val="zh-CN"/>
              </w:rPr>
              <w:t>评审内容</w:t>
            </w:r>
          </w:p>
        </w:tc>
        <w:tc>
          <w:tcPr>
            <w:tcW w:w="5553"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rPr>
              <w:t>1</w:t>
            </w:r>
          </w:p>
        </w:tc>
        <w:tc>
          <w:tcPr>
            <w:tcW w:w="2787"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lang w:val="zh-CN"/>
              </w:rPr>
              <w:t>供应商名称</w:t>
            </w:r>
          </w:p>
        </w:tc>
        <w:tc>
          <w:tcPr>
            <w:tcW w:w="5553"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lang w:val="zh-CN"/>
              </w:rPr>
              <w:t>供应商名称和公章、营业执照一致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rPr>
              <w:t>2</w:t>
            </w:r>
          </w:p>
        </w:tc>
        <w:tc>
          <w:tcPr>
            <w:tcW w:w="2787"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lang w:val="zh-CN"/>
              </w:rPr>
              <w:t>投标报价</w:t>
            </w:r>
          </w:p>
        </w:tc>
        <w:tc>
          <w:tcPr>
            <w:tcW w:w="5553"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kern w:val="0"/>
                <w:szCs w:val="21"/>
                <w:highlight w:val="none"/>
              </w:rPr>
              <w:t>未超过采购预算，无选择性报价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rPr>
              <w:t>3</w:t>
            </w:r>
          </w:p>
        </w:tc>
        <w:tc>
          <w:tcPr>
            <w:tcW w:w="2787"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kern w:val="0"/>
                <w:szCs w:val="21"/>
                <w:highlight w:val="none"/>
              </w:rPr>
              <w:t>投标文件有效期</w:t>
            </w:r>
          </w:p>
        </w:tc>
        <w:tc>
          <w:tcPr>
            <w:tcW w:w="5553"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kern w:val="0"/>
                <w:szCs w:val="21"/>
                <w:highlight w:val="none"/>
              </w:rPr>
              <w:t>自投标文件递交截止之日起不少于90个日历日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rPr>
              <w:t>4</w:t>
            </w:r>
          </w:p>
        </w:tc>
        <w:tc>
          <w:tcPr>
            <w:tcW w:w="2787"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kern w:val="0"/>
                <w:szCs w:val="21"/>
                <w:highlight w:val="none"/>
              </w:rPr>
              <w:t>投标文件有效性</w:t>
            </w:r>
          </w:p>
        </w:tc>
        <w:tc>
          <w:tcPr>
            <w:tcW w:w="5553"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kern w:val="0"/>
                <w:szCs w:val="21"/>
                <w:highlight w:val="none"/>
              </w:rPr>
              <w:t>投标文件的数量符合要求，签字盖章合格、有效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rPr>
              <w:t>5</w:t>
            </w:r>
          </w:p>
        </w:tc>
        <w:tc>
          <w:tcPr>
            <w:tcW w:w="2787" w:type="dxa"/>
            <w:vAlign w:val="center"/>
          </w:tcPr>
          <w:p>
            <w:pPr>
              <w:autoSpaceDE w:val="0"/>
              <w:autoSpaceDN w:val="0"/>
              <w:adjustRightInd w:val="0"/>
              <w:snapToGrid w:val="0"/>
              <w:spacing w:line="240" w:lineRule="auto"/>
              <w:jc w:val="center"/>
              <w:rPr>
                <w:rFonts w:ascii="宋体" w:hAnsi="宋体" w:cs="宋体"/>
                <w:kern w:val="0"/>
                <w:szCs w:val="21"/>
                <w:highlight w:val="none"/>
              </w:rPr>
            </w:pPr>
            <w:r>
              <w:rPr>
                <w:rFonts w:hint="eastAsia" w:ascii="宋体" w:hAnsi="宋体" w:cs="宋体"/>
                <w:kern w:val="0"/>
                <w:szCs w:val="21"/>
                <w:highlight w:val="none"/>
              </w:rPr>
              <w:t>交货及安装期限</w:t>
            </w:r>
          </w:p>
        </w:tc>
        <w:tc>
          <w:tcPr>
            <w:tcW w:w="5553" w:type="dxa"/>
            <w:vAlign w:val="center"/>
          </w:tcPr>
          <w:p>
            <w:pPr>
              <w:autoSpaceDE w:val="0"/>
              <w:autoSpaceDN w:val="0"/>
              <w:adjustRightInd w:val="0"/>
              <w:snapToGrid w:val="0"/>
              <w:spacing w:line="240" w:lineRule="auto"/>
              <w:jc w:val="center"/>
              <w:rPr>
                <w:rFonts w:ascii="宋体" w:hAnsi="宋体" w:cs="宋体"/>
                <w:kern w:val="0"/>
                <w:szCs w:val="21"/>
                <w:highlight w:val="none"/>
              </w:rPr>
            </w:pPr>
            <w:r>
              <w:rPr>
                <w:rFonts w:hint="eastAsia" w:ascii="宋体" w:hAnsi="宋体" w:cs="宋体"/>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6</w:t>
            </w:r>
          </w:p>
        </w:tc>
        <w:tc>
          <w:tcPr>
            <w:tcW w:w="2787" w:type="dxa"/>
            <w:vAlign w:val="center"/>
          </w:tcPr>
          <w:p>
            <w:pPr>
              <w:autoSpaceDE w:val="0"/>
              <w:autoSpaceDN w:val="0"/>
              <w:adjustRightInd w:val="0"/>
              <w:snapToGrid w:val="0"/>
              <w:spacing w:line="240" w:lineRule="auto"/>
              <w:jc w:val="center"/>
              <w:rPr>
                <w:rFonts w:ascii="宋体" w:hAnsi="宋体" w:cs="宋体"/>
                <w:kern w:val="0"/>
                <w:szCs w:val="21"/>
                <w:highlight w:val="none"/>
              </w:rPr>
            </w:pPr>
            <w:r>
              <w:rPr>
                <w:rFonts w:hint="eastAsia" w:ascii="宋体" w:hAnsi="宋体" w:cs="宋体"/>
                <w:kern w:val="0"/>
                <w:szCs w:val="21"/>
                <w:highlight w:val="none"/>
              </w:rPr>
              <w:t>交货地点</w:t>
            </w:r>
          </w:p>
        </w:tc>
        <w:tc>
          <w:tcPr>
            <w:tcW w:w="5553" w:type="dxa"/>
            <w:vAlign w:val="center"/>
          </w:tcPr>
          <w:p>
            <w:pPr>
              <w:autoSpaceDE w:val="0"/>
              <w:autoSpaceDN w:val="0"/>
              <w:adjustRightInd w:val="0"/>
              <w:snapToGrid w:val="0"/>
              <w:spacing w:line="240" w:lineRule="auto"/>
              <w:jc w:val="center"/>
              <w:rPr>
                <w:rFonts w:ascii="宋体" w:hAnsi="宋体" w:cs="宋体"/>
                <w:kern w:val="0"/>
                <w:szCs w:val="21"/>
                <w:highlight w:val="none"/>
              </w:rPr>
            </w:pPr>
            <w:r>
              <w:rPr>
                <w:rFonts w:hint="eastAsia" w:ascii="宋体" w:hAnsi="宋体" w:cs="宋体"/>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pPr>
              <w:autoSpaceDE w:val="0"/>
              <w:autoSpaceDN w:val="0"/>
              <w:adjustRightInd w:val="0"/>
              <w:snapToGrid w:val="0"/>
              <w:spacing w:line="240" w:lineRule="auto"/>
              <w:jc w:val="center"/>
              <w:rPr>
                <w:rFonts w:ascii="宋体" w:hAnsi="宋体" w:cs="宋体"/>
                <w:szCs w:val="21"/>
                <w:highlight w:val="none"/>
                <w:lang w:val="zh-CN"/>
              </w:rPr>
            </w:pPr>
            <w:r>
              <w:rPr>
                <w:rFonts w:hint="eastAsia" w:ascii="宋体" w:hAnsi="宋体" w:cs="宋体"/>
                <w:szCs w:val="21"/>
                <w:highlight w:val="none"/>
              </w:rPr>
              <w:t>7</w:t>
            </w:r>
          </w:p>
        </w:tc>
        <w:tc>
          <w:tcPr>
            <w:tcW w:w="2787" w:type="dxa"/>
            <w:vAlign w:val="center"/>
          </w:tcPr>
          <w:p>
            <w:pPr>
              <w:widowControl/>
              <w:adjustRightInd w:val="0"/>
              <w:snapToGrid w:val="0"/>
              <w:spacing w:line="240" w:lineRule="auto"/>
              <w:jc w:val="center"/>
              <w:rPr>
                <w:rFonts w:ascii="宋体" w:hAnsi="宋体" w:cs="宋体"/>
                <w:kern w:val="0"/>
                <w:szCs w:val="21"/>
                <w:highlight w:val="none"/>
              </w:rPr>
            </w:pPr>
            <w:r>
              <w:rPr>
                <w:rFonts w:hint="eastAsia" w:ascii="宋体" w:hAnsi="宋体" w:cs="宋体"/>
                <w:kern w:val="0"/>
                <w:szCs w:val="21"/>
                <w:highlight w:val="none"/>
              </w:rPr>
              <w:t>合同条款响应</w:t>
            </w:r>
          </w:p>
        </w:tc>
        <w:tc>
          <w:tcPr>
            <w:tcW w:w="5553" w:type="dxa"/>
            <w:vAlign w:val="center"/>
          </w:tcPr>
          <w:p>
            <w:pPr>
              <w:widowControl/>
              <w:adjustRightInd w:val="0"/>
              <w:snapToGrid w:val="0"/>
              <w:spacing w:line="240" w:lineRule="auto"/>
              <w:jc w:val="center"/>
              <w:rPr>
                <w:rFonts w:ascii="宋体" w:hAnsi="宋体" w:cs="宋体"/>
                <w:kern w:val="0"/>
                <w:szCs w:val="21"/>
                <w:highlight w:val="none"/>
              </w:rPr>
            </w:pPr>
            <w:r>
              <w:rPr>
                <w:rFonts w:hint="eastAsia" w:ascii="宋体" w:hAnsi="宋体" w:cs="宋体"/>
                <w:kern w:val="0"/>
                <w:szCs w:val="21"/>
                <w:highlight w:val="none"/>
              </w:rPr>
              <w:t>满足招标文件要求，无负偏离</w:t>
            </w:r>
          </w:p>
        </w:tc>
      </w:tr>
    </w:tbl>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20.</w:t>
      </w:r>
      <w:r>
        <w:rPr>
          <w:rFonts w:hint="eastAsia" w:ascii="宋体" w:hAnsi="宋体" w:cs="宋体"/>
          <w:szCs w:val="21"/>
          <w:highlight w:val="none"/>
        </w:rPr>
        <w:t>6.</w:t>
      </w:r>
      <w:r>
        <w:rPr>
          <w:rFonts w:hint="eastAsia" w:ascii="宋体" w:hAnsi="宋体" w:cs="宋体"/>
          <w:szCs w:val="21"/>
          <w:highlight w:val="none"/>
          <w:lang w:val="zh-CN"/>
        </w:rPr>
        <w:t>3 有下列情形之一的，视为供应商串通投标，其投标无效：</w:t>
      </w:r>
    </w:p>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（一）不同供应商的投标文件由同一单位或者个人编制；</w:t>
      </w:r>
    </w:p>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（二）不同供应商委托同一单位或者个人办理投标事宜；</w:t>
      </w:r>
    </w:p>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（三）不同供应商的投标文件载明的项目管理成员或者联系人员为同一人；</w:t>
      </w:r>
    </w:p>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（四）不同供应商的投标文件异常一致或者投标报价呈规律性差异；</w:t>
      </w:r>
    </w:p>
    <w:p>
      <w:pPr>
        <w:autoSpaceDE w:val="0"/>
        <w:autoSpaceDN w:val="0"/>
        <w:adjustRightInd w:val="0"/>
        <w:snapToGrid w:val="0"/>
        <w:spacing w:line="360" w:lineRule="auto"/>
        <w:ind w:firstLine="630"/>
        <w:rPr>
          <w:rFonts w:ascii="宋体" w:hAnsi="宋体" w:cs="宋体"/>
          <w:szCs w:val="21"/>
          <w:highlight w:val="none"/>
          <w:lang w:val="zh-CN"/>
        </w:rPr>
      </w:pPr>
      <w:r>
        <w:rPr>
          <w:rFonts w:hint="eastAsia" w:ascii="宋体" w:hAnsi="宋体" w:cs="宋体"/>
          <w:szCs w:val="21"/>
          <w:highlight w:val="none"/>
          <w:lang w:val="zh-CN"/>
        </w:rPr>
        <w:t>（五）不同供应商的投标文件相互混装；</w:t>
      </w:r>
    </w:p>
    <w:p>
      <w:pPr>
        <w:autoSpaceDE w:val="0"/>
        <w:autoSpaceDN w:val="0"/>
        <w:adjustRightInd w:val="0"/>
        <w:snapToGrid w:val="0"/>
        <w:spacing w:line="360" w:lineRule="auto"/>
        <w:ind w:firstLine="426"/>
        <w:rPr>
          <w:rFonts w:ascii="宋体" w:hAnsi="宋体" w:cs="宋体"/>
          <w:b/>
          <w:szCs w:val="21"/>
          <w:highlight w:val="none"/>
        </w:rPr>
      </w:pPr>
      <w:r>
        <w:rPr>
          <w:rFonts w:hint="eastAsia" w:ascii="宋体" w:hAnsi="宋体" w:cs="宋体"/>
          <w:b/>
          <w:szCs w:val="21"/>
          <w:highlight w:val="none"/>
        </w:rPr>
        <w:t>21.投标文件的澄清</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21.1在评标期间，评标委员会要求供应商对其投标文件进行澄清时，供应商应派法定代表人或被授权代表和相关技术人员按评标委员会通知的时间和地点接受询标。法定代表人或授权代表在接受询标时应出示其有效身份证件，询标时法定代表人或授权代表未到场或未出示有效身份证件的其投标文件将被拒绝。</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21.2评标委员会可以要求供应商对投标文件中含义不明确、对同类问题表述不一致或者有明显文字和计算错误的内容作必要的澄清、说明或者补正。</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21.3供应商的澄清、说明或者补正不得超出投标文件的范围或者改变投标文件的实质性内容。</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21.3 有关澄清的要求和答复均应以书面形式提交。</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21.5供应商的书面澄清、说明和补正经评标委员会认可后可以作为其投标文件的一部分参与评标。如果供应商中标，这些书面澄清、说明和补正也作为中标的依据。</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21.6供应商对投标文件的澄清只是评标委员会根据评标的需要而可能进行的工作，</w:t>
      </w:r>
      <w:r>
        <w:rPr>
          <w:rFonts w:hint="eastAsia" w:ascii="宋体" w:hAnsi="宋体" w:cs="宋体"/>
          <w:szCs w:val="21"/>
          <w:highlight w:val="none"/>
          <w:lang w:eastAsia="zh-CN"/>
        </w:rPr>
        <w:t>并非</w:t>
      </w:r>
      <w:r>
        <w:rPr>
          <w:rFonts w:hint="eastAsia" w:ascii="宋体" w:hAnsi="宋体" w:cs="宋体"/>
          <w:szCs w:val="21"/>
          <w:highlight w:val="none"/>
        </w:rPr>
        <w:t>评标的必要程序，也并非每个供应商都需要进行澄清。</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21.7供应商不按照要求对投标文件进行澄清、说明或者补正的，评标委员会可以否决其投标。</w:t>
      </w:r>
    </w:p>
    <w:p>
      <w:pPr>
        <w:autoSpaceDE w:val="0"/>
        <w:autoSpaceDN w:val="0"/>
        <w:adjustRightInd w:val="0"/>
        <w:snapToGrid w:val="0"/>
        <w:spacing w:line="360" w:lineRule="auto"/>
        <w:ind w:firstLine="426"/>
        <w:rPr>
          <w:rFonts w:ascii="宋体" w:hAnsi="宋体" w:cs="宋体"/>
          <w:b/>
          <w:szCs w:val="21"/>
          <w:highlight w:val="none"/>
        </w:rPr>
      </w:pPr>
      <w:r>
        <w:rPr>
          <w:rFonts w:hint="eastAsia" w:ascii="宋体" w:hAnsi="宋体" w:cs="宋体"/>
          <w:b/>
          <w:szCs w:val="21"/>
          <w:highlight w:val="none"/>
        </w:rPr>
        <w:t>22.重大偏差和细微偏差</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22.1 重大偏差是指投标文件未对招标文件作出实质性响应，投标文件有下列情况之一的，即为重大偏差，按无效投标处理：</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（1）无单位盖章并无法定代表人或者被授权代表签字或盖章的；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（2）无法定代表人出具的授权委托书的；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（3）投标文件内容不全或关键字迹模糊、无法辨认的；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（4）供应商递交两份或者多份内容不同的投标文件，或者在一份投标文件对同一招标项目有两个或者多个报价，且未声明哪个有效，按招标文件规定提交备选投标方案的除外；</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（5）供应商名称或者组织结构与资格审查时不一致且未提供有效证明的；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（6）投标有效期不满足招标文件要求的；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（7）投标文件份数不满足招标文件要求的；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 xml:space="preserve">（8）投标文件载明的招标项目完成期限超过招标文件规定的期限的（招标文件另有规定的除外）； </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eastAsia="zh-CN"/>
        </w:rPr>
        <w:t>）</w:t>
      </w:r>
      <w:r>
        <w:rPr>
          <w:rFonts w:hint="eastAsia" w:ascii="宋体" w:hAnsi="宋体" w:cs="宋体"/>
          <w:szCs w:val="21"/>
          <w:highlight w:val="none"/>
        </w:rPr>
        <w:t>明显不符合招标文件所要求的服务标准和要求的；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10</w:t>
      </w:r>
      <w:r>
        <w:rPr>
          <w:rFonts w:hint="eastAsia" w:ascii="宋体" w:hAnsi="宋体" w:cs="宋体"/>
          <w:szCs w:val="21"/>
          <w:highlight w:val="none"/>
          <w:lang w:eastAsia="zh-CN"/>
        </w:rPr>
        <w:t>）</w:t>
      </w:r>
      <w:r>
        <w:rPr>
          <w:rFonts w:hint="eastAsia" w:ascii="宋体" w:hAnsi="宋体" w:cs="宋体"/>
          <w:szCs w:val="21"/>
          <w:highlight w:val="none"/>
        </w:rPr>
        <w:t>投标文件附有采购人不能接受的条件的；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11</w:t>
      </w:r>
      <w:r>
        <w:rPr>
          <w:rFonts w:hint="eastAsia" w:ascii="宋体" w:hAnsi="宋体" w:cs="宋体"/>
          <w:szCs w:val="21"/>
          <w:highlight w:val="none"/>
          <w:lang w:eastAsia="zh-CN"/>
        </w:rPr>
        <w:t>）</w:t>
      </w:r>
      <w:r>
        <w:rPr>
          <w:rFonts w:hint="eastAsia" w:ascii="宋体" w:hAnsi="宋体" w:cs="宋体"/>
          <w:szCs w:val="21"/>
          <w:highlight w:val="none"/>
        </w:rPr>
        <w:t>招标文件规定的其他实质性要求；</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12</w:t>
      </w:r>
      <w:r>
        <w:rPr>
          <w:rFonts w:hint="eastAsia" w:ascii="宋体" w:hAnsi="宋体" w:cs="宋体"/>
          <w:szCs w:val="21"/>
          <w:highlight w:val="none"/>
          <w:lang w:eastAsia="zh-CN"/>
        </w:rPr>
        <w:t>）</w:t>
      </w:r>
      <w:r>
        <w:rPr>
          <w:rFonts w:hint="eastAsia" w:ascii="宋体" w:hAnsi="宋体" w:cs="宋体"/>
          <w:szCs w:val="21"/>
          <w:highlight w:val="none"/>
        </w:rPr>
        <w:t>招标文件明确规定无效投标和拒绝接受的其他情形；</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13</w:t>
      </w:r>
      <w:r>
        <w:rPr>
          <w:rFonts w:hint="eastAsia" w:ascii="宋体" w:hAnsi="宋体" w:cs="宋体"/>
          <w:szCs w:val="21"/>
          <w:highlight w:val="none"/>
          <w:lang w:eastAsia="zh-CN"/>
        </w:rPr>
        <w:t>）</w:t>
      </w:r>
      <w:r>
        <w:rPr>
          <w:rFonts w:hint="eastAsia" w:ascii="宋体" w:hAnsi="宋体" w:cs="宋体"/>
          <w:szCs w:val="21"/>
          <w:highlight w:val="none"/>
        </w:rPr>
        <w:t>供应商未上传加密电子投标文件的或未在投标截止时间前递交纸质投标文件的；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14</w:t>
      </w:r>
      <w:r>
        <w:rPr>
          <w:rFonts w:hint="eastAsia" w:ascii="宋体" w:hAnsi="宋体" w:cs="宋体"/>
          <w:szCs w:val="21"/>
          <w:highlight w:val="none"/>
          <w:lang w:eastAsia="zh-CN"/>
        </w:rPr>
        <w:t>）</w:t>
      </w:r>
      <w:r>
        <w:rPr>
          <w:rFonts w:hint="eastAsia" w:ascii="宋体" w:hAnsi="宋体" w:cs="宋体"/>
          <w:szCs w:val="21"/>
          <w:highlight w:val="none"/>
        </w:rPr>
        <w:t>因供应商自身原因无法解密或获取电子投标文件的；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15</w:t>
      </w:r>
      <w:r>
        <w:rPr>
          <w:rFonts w:hint="eastAsia" w:ascii="宋体" w:hAnsi="宋体" w:cs="宋体"/>
          <w:szCs w:val="21"/>
          <w:highlight w:val="none"/>
          <w:lang w:eastAsia="zh-CN"/>
        </w:rPr>
        <w:t>）</w:t>
      </w:r>
      <w:r>
        <w:rPr>
          <w:rFonts w:hint="eastAsia" w:ascii="宋体" w:hAnsi="宋体" w:cs="宋体"/>
          <w:szCs w:val="21"/>
          <w:highlight w:val="none"/>
        </w:rPr>
        <w:t>单位负责人为同一人或者存在直接控股、管理关系的。</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22.3细微偏差是指投标文件在实质上响应招标文件的要求，但在个别地方存在漏项或者提供了不完整的技术信息和数据等情况，并且补正这些遗漏或者不完整不会对其他供应商造成不公平的结果。细微偏差不影响投标文件的有效性。供应商对细微偏差拒不补正的，评标委员会将在详细评审时作不利于该供应商的量化。</w:t>
      </w:r>
    </w:p>
    <w:p>
      <w:pPr>
        <w:autoSpaceDE w:val="0"/>
        <w:autoSpaceDN w:val="0"/>
        <w:adjustRightInd w:val="0"/>
        <w:snapToGrid w:val="0"/>
        <w:spacing w:line="360" w:lineRule="auto"/>
        <w:ind w:firstLine="426"/>
        <w:rPr>
          <w:rFonts w:ascii="宋体" w:hAnsi="宋体" w:cs="宋体"/>
          <w:b/>
          <w:szCs w:val="21"/>
          <w:highlight w:val="none"/>
        </w:rPr>
      </w:pPr>
      <w:r>
        <w:rPr>
          <w:rFonts w:hint="eastAsia" w:ascii="宋体" w:hAnsi="宋体" w:cs="宋体"/>
          <w:b/>
          <w:szCs w:val="21"/>
          <w:highlight w:val="none"/>
        </w:rPr>
        <w:t>23.无效投标</w:t>
      </w:r>
    </w:p>
    <w:p>
      <w:pPr>
        <w:autoSpaceDE w:val="0"/>
        <w:autoSpaceDN w:val="0"/>
        <w:adjustRightInd w:val="0"/>
        <w:snapToGrid w:val="0"/>
        <w:spacing w:line="360" w:lineRule="auto"/>
        <w:ind w:firstLine="426"/>
        <w:rPr>
          <w:rFonts w:ascii="宋体" w:hAnsi="宋体" w:cs="宋体"/>
          <w:szCs w:val="21"/>
          <w:highlight w:val="none"/>
        </w:rPr>
      </w:pPr>
      <w:r>
        <w:rPr>
          <w:rFonts w:hint="eastAsia" w:ascii="宋体" w:hAnsi="宋体" w:cs="宋体"/>
          <w:szCs w:val="21"/>
          <w:highlight w:val="none"/>
        </w:rPr>
        <w:t>23.1评标委员会在评审过程中，发现投标文件有下列情况之一的应作无效投标处理：</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（1）评标过程中，评标委员会发现供应商以他人名义投标、串通投标、以行贿手段谋取中标或以其他弄虚作假方式投标的；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评标过程中，评标委员会发现供应商的报价明显低于其他投标报价的，应当要求该供应商作出书面说明并提供相关证明。供应商不能合理说明或者不能提供相关证明的，由评标委员会认定该供应商以低于成本报价竞标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（3）供应商资格条件不符合国家有关规定和招标文件要求的；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 xml:space="preserve">（4）投标文件未对招标文件提出的所有实质性要求和条件作出响应的。 </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23.2供应商拒不按照要求对投标文件进行澄清、说明或者补正的，评标委员会可以否决其投标。</w:t>
      </w:r>
    </w:p>
    <w:p>
      <w:pPr>
        <w:pStyle w:val="13"/>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24.投标文件的详细评审</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24.1 评标委员会将按照第22条规定仅对确实为实质上响应招标文件要求的投标进行评价和比较。</w:t>
      </w:r>
    </w:p>
    <w:p>
      <w:pPr>
        <w:pStyle w:val="13"/>
        <w:adjustRightInd w:val="0"/>
        <w:snapToGrid w:val="0"/>
        <w:spacing w:line="360" w:lineRule="auto"/>
        <w:ind w:firstLine="315" w:firstLineChars="150"/>
        <w:rPr>
          <w:rFonts w:hAnsi="宋体" w:cs="宋体"/>
          <w:szCs w:val="21"/>
          <w:highlight w:val="none"/>
        </w:rPr>
      </w:pPr>
      <w:r>
        <w:rPr>
          <w:rFonts w:hint="eastAsia" w:hAnsi="宋体" w:cs="宋体"/>
          <w:szCs w:val="21"/>
          <w:highlight w:val="none"/>
        </w:rPr>
        <w:t xml:space="preserve"> 24.2详细评审是评标委员会评审和比较经初步审查的投标文件是否最大限度地满足招标文件中规定的各项评价标准</w:t>
      </w:r>
    </w:p>
    <w:p>
      <w:pPr>
        <w:pStyle w:val="13"/>
        <w:tabs>
          <w:tab w:val="left" w:pos="1080"/>
          <w:tab w:val="left" w:pos="1260"/>
        </w:tabs>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24.3评标委员会按第三部分“评分办法”中载明的方法及标准对投标文件作出评价，根据采购人的授权推荐三名中标候选供应商。</w:t>
      </w:r>
    </w:p>
    <w:p>
      <w:pPr>
        <w:pStyle w:val="13"/>
        <w:tabs>
          <w:tab w:val="left" w:pos="1080"/>
        </w:tabs>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24.4最低投标价等任何单项因素不是中标的唯一条件。</w:t>
      </w:r>
    </w:p>
    <w:p>
      <w:pPr>
        <w:pStyle w:val="13"/>
        <w:tabs>
          <w:tab w:val="left" w:pos="1080"/>
        </w:tabs>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25.评标过程的保密</w:t>
      </w:r>
    </w:p>
    <w:p>
      <w:pPr>
        <w:pStyle w:val="13"/>
        <w:tabs>
          <w:tab w:val="left" w:pos="1080"/>
        </w:tabs>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25.1在宣布中标供应商之前，凡属于审查、澄清、评价、比较投标文件等有关信息，均不得泄露给任何供应商或与评标工作无关的人员。</w:t>
      </w:r>
    </w:p>
    <w:p>
      <w:pPr>
        <w:pStyle w:val="13"/>
        <w:tabs>
          <w:tab w:val="left" w:pos="1080"/>
        </w:tabs>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25.2供应商不得探听上述信息，不得以任何行为影响评标过程，否则其投标将被判为废标。</w:t>
      </w:r>
    </w:p>
    <w:p>
      <w:pPr>
        <w:pStyle w:val="13"/>
        <w:tabs>
          <w:tab w:val="left" w:pos="1080"/>
        </w:tabs>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25.3 在评标期间，采购人将指定招标代理项目负责人与供应商进行联络。</w:t>
      </w:r>
    </w:p>
    <w:p>
      <w:pPr>
        <w:pStyle w:val="4"/>
        <w:bidi w:val="0"/>
        <w:rPr>
          <w:highlight w:val="none"/>
        </w:rPr>
      </w:pPr>
      <w:r>
        <w:rPr>
          <w:rFonts w:hint="eastAsia"/>
          <w:highlight w:val="none"/>
        </w:rPr>
        <w:t>F  重新招标</w:t>
      </w:r>
    </w:p>
    <w:p>
      <w:pPr>
        <w:pStyle w:val="9"/>
        <w:topLinePunct/>
        <w:adjustRightInd w:val="0"/>
        <w:snapToGrid w:val="0"/>
        <w:spacing w:line="360" w:lineRule="auto"/>
        <w:ind w:firstLine="422" w:firstLineChars="200"/>
        <w:rPr>
          <w:rFonts w:hAnsi="宋体" w:cs="宋体"/>
          <w:b/>
          <w:sz w:val="21"/>
          <w:szCs w:val="21"/>
          <w:highlight w:val="none"/>
        </w:rPr>
      </w:pPr>
      <w:r>
        <w:rPr>
          <w:rFonts w:hint="eastAsia" w:hAnsi="宋体" w:cs="宋体"/>
          <w:b/>
          <w:sz w:val="21"/>
          <w:szCs w:val="21"/>
          <w:highlight w:val="none"/>
        </w:rPr>
        <w:t>26.重新招标</w:t>
      </w:r>
    </w:p>
    <w:p>
      <w:pPr>
        <w:pStyle w:val="9"/>
        <w:tabs>
          <w:tab w:val="left" w:pos="3208"/>
        </w:tabs>
        <w:topLinePunct/>
        <w:adjustRightInd w:val="0"/>
        <w:snapToGrid w:val="0"/>
        <w:spacing w:line="360" w:lineRule="auto"/>
        <w:ind w:firstLine="420" w:firstLineChars="200"/>
        <w:rPr>
          <w:rFonts w:hAnsi="宋体" w:cs="宋体"/>
          <w:kern w:val="0"/>
          <w:sz w:val="21"/>
          <w:szCs w:val="21"/>
          <w:highlight w:val="none"/>
        </w:rPr>
      </w:pPr>
      <w:r>
        <w:rPr>
          <w:rFonts w:hint="eastAsia" w:hAnsi="宋体" w:cs="宋体"/>
          <w:kern w:val="0"/>
          <w:sz w:val="21"/>
          <w:szCs w:val="21"/>
          <w:highlight w:val="none"/>
        </w:rPr>
        <w:t>有下列情形之一的采购人应当重新招标</w:t>
      </w:r>
      <w:r>
        <w:rPr>
          <w:rFonts w:hint="eastAsia" w:hAnsi="宋体" w:cs="宋体"/>
          <w:kern w:val="0"/>
          <w:sz w:val="21"/>
          <w:szCs w:val="21"/>
          <w:highlight w:val="none"/>
          <w:lang w:eastAsia="zh-CN"/>
        </w:rPr>
        <w:t>：</w:t>
      </w:r>
    </w:p>
    <w:p>
      <w:pPr>
        <w:pStyle w:val="9"/>
        <w:tabs>
          <w:tab w:val="left" w:pos="3208"/>
        </w:tabs>
        <w:topLinePunct/>
        <w:adjustRightInd w:val="0"/>
        <w:snapToGrid w:val="0"/>
        <w:spacing w:line="360" w:lineRule="auto"/>
        <w:ind w:firstLine="420" w:firstLineChars="200"/>
        <w:rPr>
          <w:rFonts w:hAnsi="宋体" w:cs="宋体"/>
          <w:kern w:val="0"/>
          <w:sz w:val="21"/>
          <w:szCs w:val="21"/>
          <w:highlight w:val="none"/>
        </w:rPr>
      </w:pPr>
      <w:r>
        <w:rPr>
          <w:rFonts w:hint="eastAsia" w:hAnsi="宋体" w:cs="宋体"/>
          <w:kern w:val="0"/>
          <w:sz w:val="21"/>
          <w:szCs w:val="21"/>
          <w:highlight w:val="none"/>
          <w:lang w:eastAsia="zh-CN"/>
        </w:rPr>
        <w:t>（</w:t>
      </w:r>
      <w:r>
        <w:rPr>
          <w:rFonts w:hint="eastAsia" w:hAnsi="宋体" w:cs="宋体"/>
          <w:kern w:val="0"/>
          <w:sz w:val="21"/>
          <w:szCs w:val="21"/>
          <w:highlight w:val="none"/>
        </w:rPr>
        <w:t>1</w:t>
      </w:r>
      <w:r>
        <w:rPr>
          <w:rFonts w:hint="eastAsia" w:hAnsi="宋体" w:cs="宋体"/>
          <w:kern w:val="0"/>
          <w:sz w:val="21"/>
          <w:szCs w:val="21"/>
          <w:highlight w:val="none"/>
          <w:lang w:eastAsia="zh-CN"/>
        </w:rPr>
        <w:t>）</w:t>
      </w:r>
      <w:r>
        <w:rPr>
          <w:rFonts w:hint="eastAsia" w:hAnsi="宋体" w:cs="宋体"/>
          <w:kern w:val="0"/>
          <w:sz w:val="21"/>
          <w:szCs w:val="21"/>
          <w:highlight w:val="none"/>
        </w:rPr>
        <w:t>有效供应商少于三个的；</w:t>
      </w:r>
    </w:p>
    <w:p>
      <w:pPr>
        <w:pStyle w:val="9"/>
        <w:topLinePunct/>
        <w:adjustRightInd w:val="0"/>
        <w:snapToGrid w:val="0"/>
        <w:spacing w:line="360" w:lineRule="auto"/>
        <w:ind w:firstLine="420" w:firstLineChars="200"/>
        <w:rPr>
          <w:rFonts w:hAnsi="宋体" w:cs="宋体"/>
          <w:kern w:val="0"/>
          <w:sz w:val="21"/>
          <w:szCs w:val="21"/>
          <w:highlight w:val="none"/>
        </w:rPr>
      </w:pPr>
      <w:r>
        <w:rPr>
          <w:rFonts w:hint="eastAsia" w:hAnsi="宋体" w:cs="宋体"/>
          <w:kern w:val="0"/>
          <w:sz w:val="21"/>
          <w:szCs w:val="21"/>
          <w:highlight w:val="none"/>
          <w:lang w:eastAsia="zh-CN"/>
        </w:rPr>
        <w:t>（</w:t>
      </w:r>
      <w:r>
        <w:rPr>
          <w:rFonts w:hint="eastAsia" w:hAnsi="宋体" w:cs="宋体"/>
          <w:kern w:val="0"/>
          <w:sz w:val="21"/>
          <w:szCs w:val="21"/>
          <w:highlight w:val="none"/>
        </w:rPr>
        <w:t>2</w:t>
      </w:r>
      <w:r>
        <w:rPr>
          <w:rFonts w:hint="eastAsia" w:hAnsi="宋体" w:cs="宋体"/>
          <w:kern w:val="0"/>
          <w:sz w:val="21"/>
          <w:szCs w:val="21"/>
          <w:highlight w:val="none"/>
          <w:lang w:eastAsia="zh-CN"/>
        </w:rPr>
        <w:t>）</w:t>
      </w:r>
      <w:r>
        <w:rPr>
          <w:rFonts w:hint="eastAsia" w:hAnsi="宋体" w:cs="宋体"/>
          <w:kern w:val="0"/>
          <w:sz w:val="21"/>
          <w:szCs w:val="21"/>
          <w:highlight w:val="none"/>
        </w:rPr>
        <w:t>评标委员会评审认为投标文件均不满足响应性要求时否决所有投标的；</w:t>
      </w:r>
    </w:p>
    <w:p>
      <w:pPr>
        <w:pStyle w:val="9"/>
        <w:topLinePunct/>
        <w:adjustRightInd w:val="0"/>
        <w:snapToGrid w:val="0"/>
        <w:spacing w:line="360" w:lineRule="auto"/>
        <w:ind w:firstLine="420" w:firstLineChars="200"/>
        <w:rPr>
          <w:rFonts w:hAnsi="宋体" w:cs="宋体"/>
          <w:kern w:val="0"/>
          <w:sz w:val="21"/>
          <w:szCs w:val="21"/>
          <w:highlight w:val="none"/>
        </w:rPr>
      </w:pPr>
      <w:r>
        <w:rPr>
          <w:rFonts w:hint="eastAsia" w:hAnsi="宋体" w:cs="宋体"/>
          <w:kern w:val="0"/>
          <w:sz w:val="21"/>
          <w:szCs w:val="21"/>
          <w:highlight w:val="none"/>
          <w:lang w:eastAsia="zh-CN"/>
        </w:rPr>
        <w:t>（</w:t>
      </w:r>
      <w:r>
        <w:rPr>
          <w:rFonts w:hint="eastAsia" w:hAnsi="宋体" w:cs="宋体"/>
          <w:kern w:val="0"/>
          <w:sz w:val="21"/>
          <w:szCs w:val="21"/>
          <w:highlight w:val="none"/>
        </w:rPr>
        <w:t>3</w:t>
      </w:r>
      <w:r>
        <w:rPr>
          <w:rFonts w:hint="eastAsia" w:hAnsi="宋体" w:cs="宋体"/>
          <w:kern w:val="0"/>
          <w:sz w:val="21"/>
          <w:szCs w:val="21"/>
          <w:highlight w:val="none"/>
          <w:lang w:eastAsia="zh-CN"/>
        </w:rPr>
        <w:t>）</w:t>
      </w:r>
      <w:r>
        <w:rPr>
          <w:rFonts w:hint="eastAsia" w:hAnsi="宋体" w:cs="宋体"/>
          <w:kern w:val="0"/>
          <w:sz w:val="21"/>
          <w:szCs w:val="21"/>
          <w:highlight w:val="none"/>
        </w:rPr>
        <w:t>评标委员会对一部分投标作废标处理后其他有效投标不足三个使得投标明显缺乏竞争而决定否决全部投标的。</w:t>
      </w:r>
    </w:p>
    <w:p>
      <w:pPr>
        <w:pStyle w:val="4"/>
        <w:bidi w:val="0"/>
        <w:rPr>
          <w:highlight w:val="none"/>
        </w:rPr>
      </w:pPr>
      <w:r>
        <w:rPr>
          <w:rFonts w:hint="eastAsia"/>
          <w:highlight w:val="none"/>
        </w:rPr>
        <w:t>G  定标及签约</w:t>
      </w:r>
    </w:p>
    <w:p>
      <w:pPr>
        <w:pStyle w:val="9"/>
        <w:topLinePunct/>
        <w:adjustRightInd w:val="0"/>
        <w:snapToGrid w:val="0"/>
        <w:spacing w:line="360" w:lineRule="auto"/>
        <w:ind w:firstLine="422" w:firstLineChars="200"/>
        <w:rPr>
          <w:rFonts w:hAnsi="宋体" w:cs="宋体"/>
          <w:b/>
          <w:sz w:val="21"/>
          <w:szCs w:val="21"/>
          <w:highlight w:val="none"/>
        </w:rPr>
      </w:pPr>
      <w:r>
        <w:rPr>
          <w:rFonts w:hint="eastAsia" w:hAnsi="宋体" w:cs="宋体"/>
          <w:b/>
          <w:sz w:val="21"/>
          <w:szCs w:val="21"/>
          <w:highlight w:val="none"/>
        </w:rPr>
        <w:t>27.定标</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27.1采购代理机构应当在评标结束后2个工作日内将评标报告送采购人。</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27.2采购人应当自收到评标报告之日起5个工作日内，在评标报告确定的中标候选供应商名单中按顺序确定中标供应商。中标候选供应商并列的，由采购人按照招标文件规定的方式确定中标供应商；招标文件未规定的，采取随机抽取的方式确定。</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27.3采购人在收到评标报告5个工作日内未按评标报告推荐的中标候选供应商顺序确定中标供应商，又不能说明合法理由的，视同按评标报告推荐的顺序确定排名第一的中标候选供应商为中标供应商。</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27.4采购代理机构在接到采购人“定标”复函之日起2个工作日内，根据采购人确定的中标人，在财政部门指定的政府采购网和媒体上发布中标公告，同时向中标人发出《中标通知书》。</w:t>
      </w:r>
    </w:p>
    <w:p>
      <w:pPr>
        <w:pStyle w:val="13"/>
        <w:adjustRightInd w:val="0"/>
        <w:snapToGrid w:val="0"/>
        <w:spacing w:line="360" w:lineRule="auto"/>
        <w:ind w:firstLine="426"/>
        <w:rPr>
          <w:rFonts w:hAnsi="宋体" w:cs="宋体"/>
          <w:b/>
          <w:szCs w:val="21"/>
          <w:highlight w:val="none"/>
        </w:rPr>
      </w:pPr>
      <w:r>
        <w:rPr>
          <w:rFonts w:hint="eastAsia" w:hAnsi="宋体" w:cs="宋体"/>
          <w:b/>
          <w:szCs w:val="21"/>
          <w:highlight w:val="none"/>
        </w:rPr>
        <w:t>28.接受和拒绝任何或所有投标的权力</w:t>
      </w:r>
    </w:p>
    <w:p>
      <w:pPr>
        <w:pStyle w:val="13"/>
        <w:adjustRightInd w:val="0"/>
        <w:snapToGrid w:val="0"/>
        <w:spacing w:line="360" w:lineRule="auto"/>
        <w:ind w:firstLine="426"/>
        <w:rPr>
          <w:rFonts w:hAnsi="宋体" w:cs="宋体"/>
          <w:szCs w:val="21"/>
          <w:highlight w:val="none"/>
        </w:rPr>
      </w:pPr>
      <w:r>
        <w:rPr>
          <w:rFonts w:hint="eastAsia" w:hAnsi="宋体" w:cs="宋体"/>
          <w:szCs w:val="21"/>
          <w:highlight w:val="none"/>
        </w:rPr>
        <w:t>采购人保留在定标之前任何时候出现特殊情况，经评标委员会认定后，可以接受或拒绝任何投标的权力，对受影响的供应商不承担任何责任，也没有向供应商解释其理由的义务。</w:t>
      </w:r>
    </w:p>
    <w:p>
      <w:pPr>
        <w:pStyle w:val="13"/>
        <w:adjustRightInd w:val="0"/>
        <w:snapToGrid w:val="0"/>
        <w:spacing w:line="360" w:lineRule="auto"/>
        <w:ind w:firstLine="426"/>
        <w:rPr>
          <w:rFonts w:hAnsi="宋体" w:cs="宋体"/>
          <w:b/>
          <w:szCs w:val="21"/>
          <w:highlight w:val="none"/>
        </w:rPr>
      </w:pPr>
      <w:r>
        <w:rPr>
          <w:rFonts w:hint="eastAsia" w:hAnsi="宋体" w:cs="宋体"/>
          <w:b/>
          <w:szCs w:val="21"/>
          <w:highlight w:val="none"/>
        </w:rPr>
        <w:t>29.中标通知</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29.1在公告中标结果的同时，采购代理机构向中标人发出中标通知书。</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29.2采购代理机构发出中标公告（中标通知书）后，将通知所有未中标的供应商，未中标投标人可致电采购代理机构获知本单位的评审得分与排序。</w:t>
      </w:r>
    </w:p>
    <w:p>
      <w:pPr>
        <w:pStyle w:val="13"/>
        <w:adjustRightInd w:val="0"/>
        <w:snapToGrid w:val="0"/>
        <w:spacing w:line="360" w:lineRule="auto"/>
        <w:ind w:firstLine="426"/>
        <w:rPr>
          <w:rFonts w:hAnsi="宋体" w:cs="宋体"/>
          <w:b/>
          <w:szCs w:val="21"/>
          <w:highlight w:val="none"/>
        </w:rPr>
      </w:pPr>
      <w:r>
        <w:rPr>
          <w:rFonts w:hint="eastAsia" w:hAnsi="宋体" w:cs="宋体"/>
          <w:b/>
          <w:szCs w:val="21"/>
          <w:highlight w:val="none"/>
        </w:rPr>
        <w:t>30.废标或变更采购方式</w:t>
      </w:r>
      <w:bookmarkStart w:id="14" w:name="_Toc217446072"/>
      <w:r>
        <w:rPr>
          <w:rFonts w:hint="eastAsia" w:hAnsi="宋体" w:cs="宋体"/>
          <w:b/>
          <w:szCs w:val="21"/>
          <w:highlight w:val="none"/>
        </w:rPr>
        <w:t>、废标的情形</w:t>
      </w:r>
      <w:bookmarkEnd w:id="14"/>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30.1 招标采购中，出现下列情形之一的，应予以废标：</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（1）符合专业条件的投标人或者对招标文件作实质响应的投标人不足3家的；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（2）出现影响采购公正的违法、违规行为的；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（3）投标人的报价均超过了采购预算，采购人不能支付的；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（4）因重大变故，采购任务取消的。</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30.2废标后，采购代理机构应在财政部门指定采购网上公告，并公告废标的详细理由。</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31.变更采购方式</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31.1存在下列情形之一的，除采购任务取消情形外，投标截止后投标人不足3家或者通过资格审查或符合性审查的投标人不足3家的，采购人经同级财政部门同意后，可按《政府采购货物和服务招标投标管理办法》（财政部87号令）第四十三条规定的方式处理：</w:t>
      </w:r>
    </w:p>
    <w:p>
      <w:pPr>
        <w:pStyle w:val="13"/>
        <w:adjustRightInd w:val="0"/>
        <w:snapToGrid w:val="0"/>
        <w:spacing w:line="360" w:lineRule="auto"/>
        <w:ind w:firstLine="420" w:firstLineChars="200"/>
        <w:rPr>
          <w:rFonts w:hAnsi="宋体" w:cs="宋体"/>
          <w:szCs w:val="21"/>
          <w:highlight w:val="none"/>
        </w:rPr>
      </w:pPr>
      <w:r>
        <w:rPr>
          <w:rFonts w:hint="eastAsia" w:hAnsi="宋体" w:cs="宋体"/>
          <w:szCs w:val="21"/>
          <w:highlight w:val="none"/>
        </w:rPr>
        <w:t>　招标文件存在不合理条款或者招标程序不符合规定的，采购人、采购代理机构改正后依法重新招标；招标文件没有不合理条款、招标程序符合规定，需要采用其他采购方式采购的，采购人应当依法报财政部门批准。</w:t>
      </w:r>
    </w:p>
    <w:p>
      <w:pPr>
        <w:pStyle w:val="13"/>
        <w:adjustRightInd w:val="0"/>
        <w:snapToGrid w:val="0"/>
        <w:spacing w:line="360" w:lineRule="auto"/>
        <w:ind w:firstLine="422" w:firstLineChars="200"/>
        <w:rPr>
          <w:rFonts w:hAnsi="宋体" w:cs="宋体"/>
          <w:b/>
          <w:szCs w:val="21"/>
          <w:highlight w:val="none"/>
        </w:rPr>
      </w:pPr>
      <w:r>
        <w:rPr>
          <w:rFonts w:hint="eastAsia" w:hAnsi="宋体" w:cs="宋体"/>
          <w:b/>
          <w:szCs w:val="21"/>
          <w:highlight w:val="none"/>
        </w:rPr>
        <w:t>32.签订合同</w:t>
      </w:r>
    </w:p>
    <w:p>
      <w:pPr>
        <w:pStyle w:val="13"/>
        <w:adjustRightInd w:val="0"/>
        <w:snapToGrid w:val="0"/>
        <w:spacing w:line="360" w:lineRule="auto"/>
        <w:ind w:firstLine="426"/>
        <w:rPr>
          <w:rFonts w:hAnsi="宋体" w:cs="宋体"/>
          <w:szCs w:val="21"/>
          <w:highlight w:val="none"/>
        </w:rPr>
      </w:pPr>
      <w:r>
        <w:rPr>
          <w:rFonts w:hint="eastAsia" w:hAnsi="宋体" w:cs="宋体"/>
          <w:szCs w:val="21"/>
          <w:highlight w:val="none"/>
        </w:rPr>
        <w:t>32.1中标人收到中标通知书后，应按指定时间、地点，根据招标文件和投标文件与采购人签订合同。</w:t>
      </w:r>
    </w:p>
    <w:p>
      <w:pPr>
        <w:pStyle w:val="13"/>
        <w:adjustRightInd w:val="0"/>
        <w:snapToGrid w:val="0"/>
        <w:spacing w:line="360" w:lineRule="auto"/>
        <w:ind w:firstLine="426"/>
        <w:rPr>
          <w:rFonts w:hAnsi="宋体" w:cs="宋体"/>
          <w:szCs w:val="21"/>
          <w:highlight w:val="none"/>
        </w:rPr>
      </w:pPr>
      <w:r>
        <w:rPr>
          <w:rFonts w:hint="eastAsia" w:hAnsi="宋体" w:cs="宋体"/>
          <w:szCs w:val="21"/>
          <w:highlight w:val="none"/>
        </w:rPr>
        <w:t>32.2招标文件、中标供应商的投标文件、对投标文件的书面澄清、中标通知书等均应作为合同附件。</w:t>
      </w:r>
    </w:p>
    <w:p>
      <w:pPr>
        <w:pStyle w:val="13"/>
        <w:adjustRightInd w:val="0"/>
        <w:snapToGrid w:val="0"/>
        <w:spacing w:line="360" w:lineRule="auto"/>
        <w:ind w:firstLine="426"/>
        <w:rPr>
          <w:rFonts w:hAnsi="宋体" w:cs="宋体"/>
          <w:szCs w:val="21"/>
          <w:highlight w:val="none"/>
        </w:rPr>
      </w:pPr>
      <w:r>
        <w:rPr>
          <w:rFonts w:hint="eastAsia" w:hAnsi="宋体" w:cs="宋体"/>
          <w:szCs w:val="21"/>
          <w:highlight w:val="none"/>
        </w:rPr>
        <w:t>32.3采购人自政府采购合同签订之日起2个工作日内，将政府采购合同在省级以上人民政府财政部门指定的媒体上公告，但政府采购合同中涉及国家秘密、商业秘密的内容除外并在政府采购项目的采购合同自签订之日起七个工作日内，采购人应当将合同副本报同级政府采购监督管理部门和有关部门备案。</w:t>
      </w:r>
    </w:p>
    <w:p>
      <w:pPr>
        <w:pStyle w:val="13"/>
        <w:adjustRightInd w:val="0"/>
        <w:snapToGrid w:val="0"/>
        <w:spacing w:line="360" w:lineRule="auto"/>
        <w:ind w:firstLine="422" w:firstLineChars="200"/>
        <w:rPr>
          <w:rFonts w:hint="eastAsia" w:hAnsi="宋体" w:cs="宋体"/>
          <w:b/>
          <w:szCs w:val="21"/>
          <w:highlight w:val="none"/>
        </w:rPr>
      </w:pPr>
      <w:bookmarkStart w:id="15" w:name="_Toc15588"/>
      <w:r>
        <w:rPr>
          <w:rFonts w:hint="eastAsia" w:hAnsi="宋体" w:cs="宋体"/>
          <w:b/>
          <w:szCs w:val="21"/>
          <w:highlight w:val="none"/>
        </w:rPr>
        <w:t>33.招标代理服务费</w:t>
      </w:r>
      <w:bookmarkEnd w:id="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33.1中标供应商依据中标金额向采购代理机构交纳招标代理服务费，招标代理服务收费按差额定率累进法计算，具体收费标准按下表规定执行。供应商可将此费用考虑在投标总报价中，采购人不再单独支付。</w:t>
      </w:r>
    </w:p>
    <w:p>
      <w:pPr>
        <w:spacing w:line="360" w:lineRule="auto"/>
        <w:rPr>
          <w:rFonts w:ascii="宋体" w:hAnsi="宋体" w:cs="宋体"/>
          <w:szCs w:val="21"/>
          <w:highlight w:val="none"/>
        </w:rPr>
      </w:pPr>
      <w:r>
        <w:rPr>
          <w:rFonts w:hint="eastAsia" w:ascii="宋体" w:hAnsi="宋体" w:cs="宋体"/>
          <w:szCs w:val="21"/>
          <w:highlight w:val="none"/>
        </w:rPr>
        <w:t>参照《汉阴县财政局关于印发</w:t>
      </w:r>
      <w:r>
        <w:rPr>
          <w:rFonts w:hint="eastAsia" w:ascii="宋体" w:hAnsi="宋体" w:cs="宋体"/>
          <w:szCs w:val="21"/>
          <w:highlight w:val="none"/>
          <w:lang w:eastAsia="zh-CN"/>
        </w:rPr>
        <w:t>〈</w:t>
      </w:r>
      <w:r>
        <w:rPr>
          <w:rFonts w:hint="eastAsia" w:ascii="宋体" w:hAnsi="宋体" w:cs="宋体"/>
          <w:szCs w:val="21"/>
          <w:highlight w:val="none"/>
        </w:rPr>
        <w:t>汉阴县工程造价咨询等服务类收费项目评审最高限价及简化政府采购程序</w:t>
      </w:r>
      <w:r>
        <w:rPr>
          <w:rFonts w:hint="eastAsia" w:ascii="宋体" w:hAnsi="宋体" w:cs="宋体"/>
          <w:szCs w:val="21"/>
          <w:highlight w:val="none"/>
          <w:lang w:eastAsia="zh-CN"/>
        </w:rPr>
        <w:t>〉</w:t>
      </w:r>
      <w:r>
        <w:rPr>
          <w:rFonts w:hint="eastAsia" w:ascii="宋体" w:hAnsi="宋体" w:cs="宋体"/>
          <w:szCs w:val="21"/>
          <w:highlight w:val="none"/>
        </w:rPr>
        <w:t>的通知》（汉财字〔2018〕99号）文件收取。</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33.2 中标供应商在取得中标通知书时，向采购代理机构一次性缴付招标代理服务费。</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33.3 招标代理服务费以电汇或现金形式缴纳。</w:t>
      </w:r>
    </w:p>
    <w:p>
      <w:pPr>
        <w:pStyle w:val="10"/>
        <w:rPr>
          <w:rFonts w:hint="eastAsia" w:ascii="宋体" w:hAnsi="宋体" w:cs="宋体"/>
          <w:szCs w:val="21"/>
          <w:highlight w:val="none"/>
        </w:rPr>
      </w:pPr>
    </w:p>
    <w:p>
      <w:pPr>
        <w:rPr>
          <w:rFonts w:hint="eastAsia" w:ascii="宋体" w:hAnsi="宋体" w:cs="宋体"/>
          <w:szCs w:val="21"/>
          <w:highlight w:val="none"/>
        </w:rPr>
      </w:pPr>
    </w:p>
    <w:p>
      <w:pPr>
        <w:bidi w:val="0"/>
        <w:rPr>
          <w:highlight w:val="none"/>
        </w:rPr>
      </w:pPr>
    </w:p>
    <w:p>
      <w:pPr>
        <w:bidi w:val="0"/>
        <w:rPr>
          <w:highlight w:val="none"/>
          <w:lang w:val="zh-CN"/>
        </w:rPr>
      </w:pPr>
      <w:r>
        <w:rPr>
          <w:rFonts w:hint="eastAsia"/>
          <w:highlight w:val="none"/>
        </w:rPr>
        <w:t>采购代理机构开户名称：陕西坤驰项目管理咨询有限公司</w:t>
      </w:r>
    </w:p>
    <w:p>
      <w:pPr>
        <w:bidi w:val="0"/>
        <w:rPr>
          <w:highlight w:val="none"/>
        </w:rPr>
      </w:pPr>
      <w:r>
        <w:rPr>
          <w:rFonts w:hint="eastAsia"/>
          <w:highlight w:val="none"/>
        </w:rPr>
        <w:t>开户行：中国建设银行股份有限公司西安劳动北路支行</w:t>
      </w:r>
    </w:p>
    <w:p>
      <w:pPr>
        <w:bidi w:val="0"/>
        <w:rPr>
          <w:highlight w:val="none"/>
        </w:rPr>
      </w:pPr>
      <w:r>
        <w:rPr>
          <w:rFonts w:hint="eastAsia"/>
          <w:highlight w:val="none"/>
        </w:rPr>
        <w:t>银行账号：61050174390000000210</w:t>
      </w:r>
    </w:p>
    <w:p>
      <w:pPr>
        <w:bidi w:val="0"/>
        <w:rPr>
          <w:rFonts w:hint="eastAsia"/>
          <w:highlight w:val="none"/>
        </w:rPr>
      </w:pPr>
      <w:r>
        <w:rPr>
          <w:rFonts w:hint="eastAsia"/>
          <w:highlight w:val="none"/>
        </w:rPr>
        <w:t>邮箱号：</w:t>
      </w:r>
      <w:r>
        <w:rPr>
          <w:rFonts w:hint="eastAsia"/>
          <w:highlight w:val="none"/>
        </w:rPr>
        <w:fldChar w:fldCharType="begin"/>
      </w:r>
      <w:r>
        <w:rPr>
          <w:rFonts w:hint="eastAsia"/>
          <w:highlight w:val="none"/>
        </w:rPr>
        <w:instrText xml:space="preserve"> HYPERLINK "mailto:sxkcxm@126.com" </w:instrText>
      </w:r>
      <w:r>
        <w:rPr>
          <w:rFonts w:hint="eastAsia"/>
          <w:highlight w:val="none"/>
        </w:rPr>
        <w:fldChar w:fldCharType="separate"/>
      </w:r>
      <w:r>
        <w:rPr>
          <w:rStyle w:val="33"/>
          <w:rFonts w:hint="eastAsia" w:ascii="宋体" w:hAnsi="宋体" w:cs="宋体"/>
          <w:szCs w:val="21"/>
          <w:highlight w:val="none"/>
        </w:rPr>
        <w:t>sxkcxm@126.com</w:t>
      </w:r>
      <w:r>
        <w:rPr>
          <w:rFonts w:hint="eastAsia"/>
          <w:highlight w:val="none"/>
        </w:rPr>
        <w:fldChar w:fldCharType="end"/>
      </w:r>
    </w:p>
    <w:p>
      <w:pPr>
        <w:pStyle w:val="4"/>
        <w:bidi w:val="0"/>
        <w:rPr>
          <w:highlight w:val="none"/>
        </w:rPr>
      </w:pPr>
      <w:r>
        <w:rPr>
          <w:rFonts w:hint="eastAsia"/>
          <w:highlight w:val="none"/>
        </w:rPr>
        <w:t>H</w:t>
      </w:r>
      <w:r>
        <w:rPr>
          <w:rFonts w:hint="eastAsia"/>
          <w:highlight w:val="none"/>
          <w:lang w:eastAsia="zh-CN"/>
        </w:rPr>
        <w:t>.</w:t>
      </w:r>
      <w:r>
        <w:rPr>
          <w:rFonts w:hint="eastAsia"/>
          <w:highlight w:val="none"/>
        </w:rPr>
        <w:t>政策性法规</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34.采购政策</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（1）《政府采购促进中小企业发展暂行办法》的通知</w:t>
      </w:r>
      <w:r>
        <w:rPr>
          <w:rFonts w:hint="eastAsia" w:ascii="宋体" w:hAnsi="宋体" w:cs="宋体"/>
          <w:b/>
          <w:szCs w:val="21"/>
          <w:highlight w:val="none"/>
          <w:lang w:eastAsia="zh-CN"/>
        </w:rPr>
        <w:t>－－</w:t>
      </w:r>
      <w:r>
        <w:rPr>
          <w:rFonts w:hint="eastAsia" w:ascii="宋体" w:hAnsi="宋体" w:cs="宋体"/>
          <w:b/>
          <w:szCs w:val="21"/>
          <w:highlight w:val="none"/>
        </w:rPr>
        <w:t>财库[2020]46号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政府采购促进中小企业发展暂行办法》（财库（2020）46号）规定，参加政府采购活动的中小企业应当提供《中小企业声明函》。供应商提供的《中小企业声明函》资料必须真实，否则，按照有关规定予以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投标小组对供应商提供的《中小企业声明函》进行核实后，根据《政府采购促进中小企业发展暂行办法》的相关规定，对小型和微型企业制造（生产）的价格给予6%的扣除，用扣除后的价格参与评审。</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小企业（含小微、微型企业）应当同时符合以下条件：（1）供应商为小企业，且符合中小企业划分标准；（2）提供本企业制造的货物、承担的工程或者服务，或者提供其他小企业制造的货物。如果提供的货物为大、中型企业注册商标的货物，视同大中型企业。</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（2）财政部司法部关于政府采购支持监狱企业发展有关问题的通知</w:t>
      </w:r>
      <w:r>
        <w:rPr>
          <w:rFonts w:hint="eastAsia" w:ascii="宋体" w:hAnsi="宋体" w:cs="宋体"/>
          <w:b/>
          <w:szCs w:val="21"/>
          <w:highlight w:val="none"/>
          <w:lang w:eastAsia="zh-CN"/>
        </w:rPr>
        <w:t>－－</w:t>
      </w:r>
      <w:r>
        <w:rPr>
          <w:rFonts w:hint="eastAsia" w:ascii="宋体" w:hAnsi="宋体" w:cs="宋体"/>
          <w:b/>
          <w:szCs w:val="21"/>
          <w:highlight w:val="none"/>
        </w:rPr>
        <w:t xml:space="preserve">财库〔2014〕68号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根据《关于政府采购支持监狱企业发展有关问题的通知》（财库（2014）68号）规定，在政府采购活动中，监狱企业视同小型、微型企业，享受政府采购促进中小企业发展的政府采购政策。</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投标小组对监狱企业的价格给予6%的扣除，用扣除后的价格参与评审。</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（3）《关于政府采购优先购买福利性企业产品和服务的意见》（陕民发</w:t>
      </w:r>
      <w:r>
        <w:rPr>
          <w:rFonts w:hint="eastAsia" w:ascii="宋体" w:hAnsi="宋体" w:cs="宋体"/>
          <w:b/>
          <w:szCs w:val="21"/>
          <w:highlight w:val="none"/>
          <w:lang w:eastAsia="zh-CN"/>
        </w:rPr>
        <w:t>〔</w:t>
      </w:r>
      <w:r>
        <w:rPr>
          <w:rFonts w:hint="eastAsia" w:ascii="宋体" w:hAnsi="宋体" w:cs="宋体"/>
          <w:b/>
          <w:szCs w:val="21"/>
          <w:highlight w:val="none"/>
        </w:rPr>
        <w:t>2015</w:t>
      </w:r>
      <w:r>
        <w:rPr>
          <w:rFonts w:hint="eastAsia" w:ascii="宋体" w:hAnsi="宋体" w:cs="宋体"/>
          <w:b/>
          <w:szCs w:val="21"/>
          <w:highlight w:val="none"/>
          <w:lang w:eastAsia="zh-CN"/>
        </w:rPr>
        <w:t>〕</w:t>
      </w:r>
      <w:r>
        <w:rPr>
          <w:rFonts w:hint="eastAsia" w:ascii="宋体" w:hAnsi="宋体" w:cs="宋体"/>
          <w:b/>
          <w:szCs w:val="21"/>
          <w:highlight w:val="none"/>
        </w:rPr>
        <w:t>1号）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根据《关于政府采购优先购买福利性企业产品和服务的意见》（陕民发</w:t>
      </w:r>
      <w:r>
        <w:rPr>
          <w:rFonts w:hint="eastAsia" w:ascii="宋体" w:hAnsi="宋体" w:cs="宋体"/>
          <w:szCs w:val="21"/>
          <w:highlight w:val="none"/>
          <w:lang w:eastAsia="zh-CN"/>
        </w:rPr>
        <w:t>〔</w:t>
      </w:r>
      <w:r>
        <w:rPr>
          <w:rFonts w:hint="eastAsia" w:ascii="宋体" w:hAnsi="宋体" w:cs="宋体"/>
          <w:szCs w:val="21"/>
          <w:highlight w:val="none"/>
        </w:rPr>
        <w:t>2015</w:t>
      </w:r>
      <w:r>
        <w:rPr>
          <w:rFonts w:hint="eastAsia" w:ascii="宋体" w:hAnsi="宋体" w:cs="宋体"/>
          <w:szCs w:val="21"/>
          <w:highlight w:val="none"/>
          <w:lang w:eastAsia="zh-CN"/>
        </w:rPr>
        <w:t>〕</w:t>
      </w:r>
      <w:r>
        <w:rPr>
          <w:rFonts w:hint="eastAsia" w:ascii="宋体" w:hAnsi="宋体" w:cs="宋体"/>
          <w:szCs w:val="21"/>
          <w:highlight w:val="none"/>
        </w:rPr>
        <w:t>1号）规定，在政府采购活动中，本省福利性企业享受我省规定的采购扶持政策。</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根据相关规定，对福利企业的价格给予6%的扣除，用扣除后的价格参与评审。</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（4）《国务院办公厅关于建立政府强制采购节能产品制度的通知》--国办发〔2007〕51号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各级政府机构使用财政性资金进行政府采购活动时，在技术、服务等指标满足采购需求的前提下，要优先采购节能产品，对部分节能效果、性能等达到要求的产品，实行强制采购。</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 xml:space="preserve">（5）《节能产品政府采购实施意见》--（财库[2004]185号）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根据《节能产品政府采购实施意见》--（财库[2004]185号）规定，政府采购属于节能清单中产品时，在技术、服务等指标同等条件下，应当优先采购节能清单所列的节能产品。</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投标时供应商应提供有效证明材料（证明材料须加盖供应商红色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（6）《环境标志产品政府采购实施的意见》--财库[2006]90号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根据《环境标志产品政府采购实施的意见》--财库[2006]90号规定，采购人采购的产品属于清单中品目的，在性能、技术、服务等指标同等条件下，应当优先采购清单中的产品。</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投标时供应商应提供有效证明材料（证明材料须加盖供应商红色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（7）《关于促进残疾人就业政府采购政策的通知》--财库〔2017〕141号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符合条件的残疾人福利性单位在参加政府采购活动时，应提供本通知规定的《残疾人福利性单位声明函》，并对声明的真实性负责。</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（8）政府采购支持脱贫攻坚政策</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adjustRightInd w:val="0"/>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（9）《陕西省中小企业政府采购信用融资办法》（陕财办采〔2018〕23号）</w:t>
      </w:r>
    </w:p>
    <w:p>
      <w:pPr>
        <w:adjustRightInd w:val="0"/>
        <w:snapToGrid w:val="0"/>
        <w:spacing w:line="360" w:lineRule="auto"/>
        <w:ind w:firstLine="420" w:firstLineChars="200"/>
        <w:rPr>
          <w:rFonts w:hint="eastAsia" w:ascii="宋体" w:hAnsi="宋体" w:cs="宋体"/>
          <w:szCs w:val="21"/>
          <w:highlight w:val="none"/>
        </w:rPr>
        <w:sectPr>
          <w:footerReference r:id="rId7" w:type="default"/>
          <w:pgSz w:w="11906" w:h="16838"/>
          <w:pgMar w:top="1644" w:right="1417" w:bottom="1417" w:left="1417" w:header="971" w:footer="752" w:gutter="0"/>
          <w:pgNumType w:fmt="decimal" w:start="1"/>
          <w:cols w:space="0" w:num="1"/>
          <w:docGrid w:type="lines" w:linePitch="313" w:charSpace="0"/>
        </w:sectPr>
      </w:pPr>
      <w:r>
        <w:rPr>
          <w:rFonts w:hint="eastAsia" w:ascii="宋体" w:hAnsi="宋体" w:cs="宋体"/>
          <w:szCs w:val="21"/>
          <w:highlight w:val="none"/>
          <w:lang w:val="en-US" w:eastAsia="zh-CN"/>
        </w:rPr>
        <w:t>为进一步贯彻落实国务院和我省关于支持中小企业发展的政策措施，发挥政府采购政策导向作用，充分利用信息化技术，通过搭建信息对称、相互对接的平台，有效缓解中小企业融资难、融资贵问题。</w:t>
      </w:r>
    </w:p>
    <w:p>
      <w:pPr>
        <w:pStyle w:val="3"/>
        <w:bidi w:val="0"/>
        <w:rPr>
          <w:highlight w:val="none"/>
        </w:rPr>
      </w:pPr>
      <w:bookmarkStart w:id="16" w:name="_Toc4138"/>
      <w:r>
        <w:rPr>
          <w:rFonts w:hint="eastAsia"/>
          <w:highlight w:val="none"/>
        </w:rPr>
        <w:t>第三部分  评标办法</w:t>
      </w:r>
      <w:bookmarkEnd w:id="16"/>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 评标原则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1.1“公平、公正、择优、效益”为本次评标的基本原则，评标委员会按照这一原则的要求，公正、平等地对待各供应商。同时，在评审中恪守以下原则：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（1）统一性原则：评标委员会将按照统一的评标原则和评审方法，用统一标准进行评审。</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（2）独立性原则</w:t>
      </w:r>
      <w:r>
        <w:rPr>
          <w:rFonts w:hint="eastAsia" w:ascii="宋体" w:hAnsi="宋体" w:cs="宋体"/>
          <w:szCs w:val="21"/>
          <w:highlight w:val="none"/>
          <w:lang w:eastAsia="zh-CN"/>
        </w:rPr>
        <w:t>：</w:t>
      </w:r>
      <w:r>
        <w:rPr>
          <w:rFonts w:hint="eastAsia" w:ascii="宋体" w:hAnsi="宋体" w:cs="宋体"/>
          <w:szCs w:val="21"/>
          <w:highlight w:val="none"/>
        </w:rPr>
        <w:t>评标工作在评标委员会内部独立进行，不受外界任何因素的干扰和影响。评标委员会成员对其出具的意见承担个人责任。供应商试图影响或干预评审的任何行为，将导致其丧失投标的资格，并承担相应的法律责任。</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（3）客观性原则：评标委员会将严格按照招标文件要求，对供应商的投标文件进行认真评审；评标委员会对投标文件的评审仅依据投标文件本身，而不依据投标文件以外的任何因素。</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（4）保密性原则：采购代理机构应当采取必要的措施，保证评标在严格保密情况下进行。</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（5）综合性原则</w:t>
      </w:r>
      <w:r>
        <w:rPr>
          <w:rFonts w:hint="eastAsia" w:ascii="宋体" w:hAnsi="宋体" w:cs="宋体"/>
          <w:szCs w:val="21"/>
          <w:highlight w:val="none"/>
          <w:lang w:eastAsia="zh-CN"/>
        </w:rPr>
        <w:t>：</w:t>
      </w:r>
      <w:r>
        <w:rPr>
          <w:rFonts w:hint="eastAsia" w:ascii="宋体" w:hAnsi="宋体" w:cs="宋体"/>
          <w:szCs w:val="21"/>
          <w:highlight w:val="none"/>
        </w:rPr>
        <w:t>评标委员会将综合分析、评审供应商的各项指标，而不以单项指标的优劣评定出中标供应商。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1.2评标委员会有权对整个招标过程中出现的一切问题，根据《中华人民共和国政府采购法》及实施条例和《政府采购货物和服务招标投标管理办法》等相关规定进行处理。</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2.评标办法（总计100分）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2.1评标采用综合评分法，择优选择，投标价格不作为评标的唯一依据，具体评分内容如下：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7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vAlign w:val="center"/>
          </w:tcPr>
          <w:p>
            <w:pPr>
              <w:spacing w:line="240" w:lineRule="auto"/>
              <w:ind w:left="-118" w:leftChars="-56" w:right="-94" w:rightChars="-4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总分值</w:t>
            </w:r>
          </w:p>
        </w:tc>
        <w:tc>
          <w:tcPr>
            <w:tcW w:w="7308"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100分</w:t>
            </w:r>
          </w:p>
        </w:tc>
        <w:tc>
          <w:tcPr>
            <w:tcW w:w="1238"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分项最高分值</w:t>
            </w:r>
          </w:p>
        </w:tc>
        <w:tc>
          <w:tcPr>
            <w:tcW w:w="7308"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1238"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7308" w:type="dxa"/>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满足招标文件要求且投标价格最低的投标报价为评标基准价，其价格分为满分。其他投标人的价格分统一按照下列公式计算：投标报价得分=（评标基准价/投标报价）×价格权值</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符合招标文件规定的小微企业、监狱企业、残疾人福利性单位优惠条件的投标人，价格给予6%的扣除，用扣除后的价格参与评审。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restart"/>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部分</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（32分）</w:t>
            </w:r>
          </w:p>
        </w:tc>
        <w:tc>
          <w:tcPr>
            <w:tcW w:w="1238" w:type="dxa"/>
            <w:vAlign w:val="center"/>
          </w:tcPr>
          <w:p>
            <w:pPr>
              <w:widowControl/>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商务响应</w:t>
            </w:r>
          </w:p>
          <w:p>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（3分）</w:t>
            </w:r>
          </w:p>
        </w:tc>
        <w:tc>
          <w:tcPr>
            <w:tcW w:w="7308" w:type="dxa"/>
            <w:vAlign w:val="center"/>
          </w:tcPr>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经过资格审查合格的投标人，对</w:t>
            </w:r>
            <w:r>
              <w:rPr>
                <w:rFonts w:hint="eastAsia" w:ascii="宋体" w:hAnsi="宋体" w:eastAsia="宋体" w:cs="宋体"/>
                <w:kern w:val="0"/>
                <w:sz w:val="21"/>
                <w:szCs w:val="21"/>
                <w:highlight w:val="none"/>
              </w:rPr>
              <w:t>工期、质保</w:t>
            </w:r>
            <w:r>
              <w:rPr>
                <w:rFonts w:hint="eastAsia" w:ascii="宋体" w:hAnsi="宋体" w:eastAsia="宋体" w:cs="宋体"/>
                <w:sz w:val="21"/>
                <w:szCs w:val="21"/>
                <w:highlight w:val="none"/>
              </w:rPr>
              <w:t>等方面进行响应，视响应情况由评委横向对比打分计0-3分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jc w:val="center"/>
              <w:rPr>
                <w:rFonts w:hint="eastAsia" w:ascii="宋体" w:hAnsi="宋体" w:eastAsia="宋体" w:cs="宋体"/>
                <w:sz w:val="21"/>
                <w:szCs w:val="21"/>
                <w:highlight w:val="none"/>
              </w:rPr>
            </w:pPr>
          </w:p>
        </w:tc>
        <w:tc>
          <w:tcPr>
            <w:tcW w:w="1238" w:type="dxa"/>
            <w:vAlign w:val="center"/>
          </w:tcPr>
          <w:p>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合法渠道（</w:t>
            </w:r>
            <w:r>
              <w:rPr>
                <w:rFonts w:hint="eastAsia" w:ascii="宋体" w:hAnsi="宋体" w:eastAsia="宋体" w:cs="宋体"/>
                <w:kern w:val="0"/>
                <w:sz w:val="21"/>
                <w:szCs w:val="21"/>
                <w:highlight w:val="none"/>
              </w:rPr>
              <w:t>4分</w:t>
            </w:r>
            <w:r>
              <w:rPr>
                <w:rFonts w:hint="eastAsia" w:ascii="宋体" w:hAnsi="宋体" w:eastAsia="宋体" w:cs="宋体"/>
                <w:sz w:val="21"/>
                <w:szCs w:val="21"/>
                <w:highlight w:val="none"/>
              </w:rPr>
              <w:t>）</w:t>
            </w:r>
          </w:p>
        </w:tc>
        <w:tc>
          <w:tcPr>
            <w:tcW w:w="7308" w:type="dxa"/>
            <w:vAlign w:val="center"/>
          </w:tcPr>
          <w:p>
            <w:pPr>
              <w:widowControl/>
              <w:numPr>
                <w:ilvl w:val="0"/>
                <w:numId w:val="3"/>
              </w:numPr>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投标人须提供主要投标产品的合法来源渠道证明文件（如：代理协议、原厂授权等），提供得2分，不提供计0分；</w:t>
            </w:r>
          </w:p>
          <w:p>
            <w:pPr>
              <w:widowControl/>
              <w:numPr>
                <w:ilvl w:val="0"/>
                <w:numId w:val="3"/>
              </w:numPr>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投标人须提供主要投标产品的计算机软件著作权登记证书（保证该产品无产权纠纷），提供得2分，不提供计0分；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jc w:val="center"/>
              <w:rPr>
                <w:rFonts w:hint="eastAsia" w:ascii="宋体" w:hAnsi="宋体" w:eastAsia="宋体" w:cs="宋体"/>
                <w:sz w:val="21"/>
                <w:szCs w:val="21"/>
                <w:highlight w:val="none"/>
              </w:rPr>
            </w:pPr>
          </w:p>
        </w:tc>
        <w:tc>
          <w:tcPr>
            <w:tcW w:w="1238" w:type="dxa"/>
            <w:vAlign w:val="center"/>
          </w:tcPr>
          <w:p>
            <w:pPr>
              <w:widowControl/>
              <w:spacing w:line="240" w:lineRule="auto"/>
              <w:jc w:val="center"/>
              <w:textAlignment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公司资质（</w:t>
            </w:r>
            <w:r>
              <w:rPr>
                <w:rFonts w:hint="eastAsia" w:ascii="宋体" w:hAnsi="宋体" w:eastAsia="宋体" w:cs="宋体"/>
                <w:kern w:val="0"/>
                <w:sz w:val="21"/>
                <w:szCs w:val="21"/>
                <w:highlight w:val="none"/>
              </w:rPr>
              <w:t>4分</w:t>
            </w:r>
            <w:r>
              <w:rPr>
                <w:rFonts w:hint="eastAsia" w:ascii="宋体" w:hAnsi="宋体" w:eastAsia="宋体" w:cs="宋体"/>
                <w:sz w:val="21"/>
                <w:szCs w:val="21"/>
                <w:highlight w:val="none"/>
              </w:rPr>
              <w:t>）</w:t>
            </w:r>
          </w:p>
        </w:tc>
        <w:tc>
          <w:tcPr>
            <w:tcW w:w="7308" w:type="dxa"/>
            <w:vAlign w:val="center"/>
          </w:tcPr>
          <w:p>
            <w:pPr>
              <w:widowControl/>
              <w:numPr>
                <w:ilvl w:val="0"/>
                <w:numId w:val="4"/>
              </w:numPr>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投标单位为“高新技术企业”并出具国家相关部门颁发的《高新技术企业证书》，提供</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2分，不提供计0分；</w:t>
            </w:r>
          </w:p>
          <w:p>
            <w:pPr>
              <w:widowControl/>
              <w:numPr>
                <w:ilvl w:val="0"/>
                <w:numId w:val="4"/>
              </w:numPr>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投标单位为通过国家相关机构认定的软件企业并能出具省级及以上工信厅颁发的《软件企业认定证书》，提供</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2分，不提供计0分。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jc w:val="center"/>
              <w:rPr>
                <w:rFonts w:hint="eastAsia" w:ascii="宋体" w:hAnsi="宋体" w:eastAsia="宋体" w:cs="宋体"/>
                <w:sz w:val="21"/>
                <w:szCs w:val="21"/>
                <w:highlight w:val="none"/>
              </w:rPr>
            </w:pPr>
          </w:p>
        </w:tc>
        <w:tc>
          <w:tcPr>
            <w:tcW w:w="1238" w:type="dxa"/>
            <w:vAlign w:val="center"/>
          </w:tcPr>
          <w:p>
            <w:pPr>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实施方案</w:t>
            </w:r>
            <w:r>
              <w:rPr>
                <w:rFonts w:hint="eastAsia" w:ascii="宋体" w:hAnsi="宋体" w:eastAsia="宋体" w:cs="宋体"/>
                <w:sz w:val="21"/>
                <w:szCs w:val="21"/>
                <w:highlight w:val="none"/>
              </w:rPr>
              <w:t>（3分）</w:t>
            </w:r>
          </w:p>
        </w:tc>
        <w:tc>
          <w:tcPr>
            <w:tcW w:w="7308" w:type="dxa"/>
            <w:vAlign w:val="center"/>
          </w:tcPr>
          <w:p>
            <w:pPr>
              <w:spacing w:line="24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kern w:val="0"/>
                <w:sz w:val="21"/>
                <w:szCs w:val="21"/>
                <w:highlight w:val="none"/>
              </w:rPr>
              <w:t>投标供应商</w:t>
            </w:r>
            <w:r>
              <w:rPr>
                <w:rFonts w:hint="eastAsia" w:ascii="宋体" w:hAnsi="宋体" w:eastAsia="宋体" w:cs="宋体"/>
                <w:sz w:val="21"/>
                <w:szCs w:val="21"/>
                <w:highlight w:val="none"/>
              </w:rPr>
              <w:t>提供的项目实施方案，从货源组织、实施计划、人员配备等方面，由评委按实际情况自主赋分，计0-3分。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jc w:val="center"/>
              <w:rPr>
                <w:rFonts w:hint="eastAsia" w:ascii="宋体" w:hAnsi="宋体" w:eastAsia="宋体" w:cs="宋体"/>
                <w:sz w:val="21"/>
                <w:szCs w:val="21"/>
                <w:highlight w:val="none"/>
              </w:rPr>
            </w:pPr>
          </w:p>
        </w:tc>
        <w:tc>
          <w:tcPr>
            <w:tcW w:w="1238" w:type="dxa"/>
            <w:vAlign w:val="center"/>
          </w:tcPr>
          <w:p>
            <w:pPr>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培训方案</w:t>
            </w:r>
            <w:r>
              <w:rPr>
                <w:rFonts w:hint="eastAsia" w:ascii="宋体" w:hAnsi="宋体" w:eastAsia="宋体" w:cs="宋体"/>
                <w:sz w:val="21"/>
                <w:szCs w:val="21"/>
                <w:highlight w:val="none"/>
              </w:rPr>
              <w:t>（3分）</w:t>
            </w:r>
          </w:p>
        </w:tc>
        <w:tc>
          <w:tcPr>
            <w:tcW w:w="7308" w:type="dxa"/>
            <w:vAlign w:val="center"/>
          </w:tcPr>
          <w:p>
            <w:pPr>
              <w:spacing w:line="240" w:lineRule="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根据投标供应商提供的对系统各类使用角色人员的全面培训方案和计划，横向比较，培训方案全面、详细、可行性强的得3分，其他的酌情扣分，没有的不得分。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jc w:val="center"/>
              <w:rPr>
                <w:rFonts w:hint="eastAsia" w:ascii="宋体" w:hAnsi="宋体" w:eastAsia="宋体" w:cs="宋体"/>
                <w:sz w:val="21"/>
                <w:szCs w:val="21"/>
                <w:highlight w:val="none"/>
              </w:rPr>
            </w:pPr>
          </w:p>
        </w:tc>
        <w:tc>
          <w:tcPr>
            <w:tcW w:w="1238" w:type="dxa"/>
            <w:vAlign w:val="center"/>
          </w:tcPr>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w:t>
            </w:r>
          </w:p>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p>
        </w:tc>
        <w:tc>
          <w:tcPr>
            <w:tcW w:w="7308" w:type="dxa"/>
            <w:vAlign w:val="center"/>
          </w:tcPr>
          <w:p>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1.根据本项目及采购人实际需求提供具体可行的售后服务方案（承诺的质量保证范围、拟投入售后驻场人员配置情况、日常维护、应急预案、故障响应时间及应对措施）。售后服务方案充实详细、有质量保证承诺</w:t>
            </w:r>
            <w:r>
              <w:rPr>
                <w:rFonts w:hint="eastAsia" w:ascii="宋体" w:hAnsi="宋体" w:cs="宋体"/>
                <w:kern w:val="0"/>
                <w:sz w:val="21"/>
                <w:szCs w:val="21"/>
                <w:highlight w:val="none"/>
                <w:lang w:eastAsia="zh-CN"/>
              </w:rPr>
              <w:t>记</w:t>
            </w:r>
            <w:r>
              <w:rPr>
                <w:rFonts w:hint="eastAsia" w:ascii="宋体" w:hAnsi="宋体" w:eastAsia="宋体" w:cs="宋体"/>
                <w:kern w:val="0"/>
                <w:sz w:val="21"/>
                <w:szCs w:val="21"/>
                <w:highlight w:val="none"/>
              </w:rPr>
              <w:t>0-</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p>
            <w:pPr>
              <w:spacing w:line="24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2.投标人有30人以上技术服务团队（售后服务承诺及保证措施、质量保证范围等，能有效保障技术服务及售后服务的协调性、及时性，提供社保缴纳证明及相关证明文件）综合评比计0-5分。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rPr>
                <w:rFonts w:hint="eastAsia" w:ascii="宋体" w:hAnsi="宋体" w:eastAsia="宋体" w:cs="宋体"/>
                <w:sz w:val="21"/>
                <w:szCs w:val="21"/>
                <w:highlight w:val="none"/>
              </w:rPr>
            </w:pPr>
          </w:p>
        </w:tc>
        <w:tc>
          <w:tcPr>
            <w:tcW w:w="1238" w:type="dxa"/>
            <w:vAlign w:val="center"/>
          </w:tcPr>
          <w:p>
            <w:pPr>
              <w:widowControl/>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w:t>
            </w:r>
          </w:p>
          <w:p>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（5分）</w:t>
            </w:r>
          </w:p>
        </w:tc>
        <w:tc>
          <w:tcPr>
            <w:tcW w:w="7308" w:type="dxa"/>
            <w:vAlign w:val="center"/>
          </w:tcPr>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1.投标人须提供投标产品2017年至今类似业绩证明文件（以采购合同签订时间为准），每提供1份得1分，最高得5分，不提供计0分。</w:t>
            </w:r>
          </w:p>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注：投标人提供的业绩证明文件应为签订的采购合同复印件加盖公章为准。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restart"/>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部分</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（48分）</w:t>
            </w:r>
          </w:p>
        </w:tc>
        <w:tc>
          <w:tcPr>
            <w:tcW w:w="1238" w:type="dxa"/>
            <w:vAlign w:val="center"/>
          </w:tcPr>
          <w:p>
            <w:pPr>
              <w:widowControl/>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w:t>
            </w:r>
          </w:p>
          <w:p>
            <w:pPr>
              <w:widowControl/>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指标</w:t>
            </w:r>
          </w:p>
          <w:p>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15</w:t>
            </w:r>
            <w:r>
              <w:rPr>
                <w:rFonts w:hint="eastAsia" w:ascii="宋体" w:hAnsi="宋体" w:eastAsia="宋体" w:cs="宋体"/>
                <w:kern w:val="0"/>
                <w:sz w:val="21"/>
                <w:szCs w:val="21"/>
                <w:highlight w:val="none"/>
              </w:rPr>
              <w:t>分）</w:t>
            </w:r>
          </w:p>
        </w:tc>
        <w:tc>
          <w:tcPr>
            <w:tcW w:w="7308" w:type="dxa"/>
            <w:vAlign w:val="center"/>
          </w:tcPr>
          <w:p>
            <w:pPr>
              <w:widowControl/>
              <w:numPr>
                <w:ilvl w:val="0"/>
                <w:numId w:val="5"/>
              </w:numPr>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产品技术参数中</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其响应技术指标和性能完全满足招标文件要求计</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分，每一项出现负偏离扣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分，扣完为止。</w:t>
            </w:r>
          </w:p>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注：技术参数要求提供检测测试报告、服务承诺或截图等证明材料的技术条款，必须加盖厂商印章，如未提供按负偏离处理。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jc w:val="center"/>
              <w:rPr>
                <w:rFonts w:hint="eastAsia" w:ascii="宋体" w:hAnsi="宋体" w:eastAsia="宋体" w:cs="宋体"/>
                <w:sz w:val="21"/>
                <w:szCs w:val="21"/>
                <w:highlight w:val="none"/>
              </w:rPr>
            </w:pPr>
          </w:p>
        </w:tc>
        <w:tc>
          <w:tcPr>
            <w:tcW w:w="1238" w:type="dxa"/>
            <w:vAlign w:val="center"/>
          </w:tcPr>
          <w:p>
            <w:pPr>
              <w:widowControl/>
              <w:spacing w:line="24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基础要求（10分）</w:t>
            </w:r>
          </w:p>
        </w:tc>
        <w:tc>
          <w:tcPr>
            <w:tcW w:w="7308" w:type="dxa"/>
            <w:vAlign w:val="center"/>
          </w:tcPr>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.数据库稳定：根据投标单位系统总体设计情况，核心软件产品采用多维（时间维）数据库结构及提供的相关证明材料计0-3分。</w:t>
            </w:r>
          </w:p>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.数据库易维护：数据库采用SQL Server的得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采用其他</w:t>
            </w:r>
            <w:r>
              <w:rPr>
                <w:rFonts w:hint="eastAsia" w:ascii="宋体" w:hAnsi="宋体" w:eastAsia="宋体" w:cs="宋体"/>
                <w:sz w:val="21"/>
                <w:szCs w:val="21"/>
                <w:highlight w:val="none"/>
              </w:rPr>
              <w:t>数据库的得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.财务账务保障：日常账目支持总账与明细账两套账目单独存储，且支持自动平衡校验功能；提供相关证明材料计0-4分。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vAlign w:val="center"/>
          </w:tcPr>
          <w:p>
            <w:pPr>
              <w:spacing w:line="240" w:lineRule="auto"/>
              <w:rPr>
                <w:rFonts w:hint="eastAsia" w:ascii="宋体" w:hAnsi="宋体" w:eastAsia="宋体" w:cs="宋体"/>
                <w:sz w:val="21"/>
                <w:szCs w:val="21"/>
                <w:highlight w:val="none"/>
              </w:rPr>
            </w:pPr>
          </w:p>
        </w:tc>
        <w:tc>
          <w:tcPr>
            <w:tcW w:w="1238" w:type="dxa"/>
            <w:vAlign w:val="center"/>
          </w:tcPr>
          <w:p>
            <w:pPr>
              <w:widowControl/>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w:t>
            </w:r>
          </w:p>
          <w:p>
            <w:pPr>
              <w:widowControl/>
              <w:spacing w:line="24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w:t>
            </w:r>
          </w:p>
          <w:p>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（18分）</w:t>
            </w:r>
          </w:p>
        </w:tc>
        <w:tc>
          <w:tcPr>
            <w:tcW w:w="7308" w:type="dxa"/>
            <w:vAlign w:val="center"/>
          </w:tcPr>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1.投标人对采购人的需求有全面</w:t>
            </w:r>
            <w:r>
              <w:rPr>
                <w:rFonts w:hint="eastAsia" w:ascii="宋体" w:hAnsi="宋体" w:cs="宋体"/>
                <w:sz w:val="21"/>
                <w:szCs w:val="21"/>
                <w:highlight w:val="none"/>
                <w:lang w:eastAsia="zh-CN"/>
              </w:rPr>
              <w:t>详实的</w:t>
            </w:r>
            <w:r>
              <w:rPr>
                <w:rFonts w:hint="eastAsia" w:ascii="宋体" w:hAnsi="宋体" w:eastAsia="宋体" w:cs="宋体"/>
                <w:sz w:val="21"/>
                <w:szCs w:val="21"/>
                <w:highlight w:val="none"/>
              </w:rPr>
              <w:t>了解，对项目建设重点、难点分析透彻，技术方案科学合理，符合医院实际业务需求。视响应情况由评委对比打分，计0-9分。</w:t>
            </w:r>
          </w:p>
          <w:p>
            <w:pPr>
              <w:widowControl/>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2.投标人根据采购人实际需求，经实勘后提供可靠安全的数据迁移方案，计0-9分。</w:t>
            </w:r>
          </w:p>
        </w:tc>
      </w:tr>
    </w:tbl>
    <w:p>
      <w:pPr>
        <w:adjustRightInd w:val="0"/>
        <w:snapToGrid w:val="0"/>
        <w:spacing w:line="360" w:lineRule="auto"/>
        <w:rPr>
          <w:rFonts w:ascii="宋体" w:hAnsi="宋体" w:cs="宋体"/>
          <w:szCs w:val="21"/>
          <w:highlight w:val="none"/>
        </w:rPr>
      </w:pP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zh-CN"/>
        </w:rPr>
        <w:t>本项目核心产品为</w:t>
      </w:r>
      <w:r>
        <w:rPr>
          <w:rFonts w:hint="eastAsia" w:ascii="宋体" w:hAnsi="宋体" w:cs="宋体"/>
          <w:b/>
          <w:bCs/>
          <w:szCs w:val="21"/>
          <w:highlight w:val="none"/>
          <w:u w:val="single"/>
          <w:lang w:val="zh-CN"/>
        </w:rPr>
        <w:t>信息化软件系统</w:t>
      </w:r>
      <w:r>
        <w:rPr>
          <w:rFonts w:hint="eastAsia" w:ascii="宋体" w:hAnsi="宋体" w:cs="宋体"/>
          <w:szCs w:val="21"/>
          <w:highlight w:val="none"/>
        </w:rPr>
        <w:t>相同品牌产品且通过资格审查、符合性审查的不同投标人参加同一项目投标的，按一家投标人计算。若评审后，评审总分不相同的，得分最高的同品牌投标人获得中标人推荐资格；若评审后，评审总分相同的，由采购人或者采购人委托评标委员会按照技术方案及质量保证得分最高的同品牌投标人获得中标人推荐资格。</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视作为无效投标处理。</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 评委打分超过得分界限或未按本方法赋分时，该评委的打分按废票处理。</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4．评审后得分由高到低顺序排列。得分相同的，按投标报价由低到高顺序排列。得分且投标报价相同的，按技术响应得分由高至低顺序排列。</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5．投标文件中缺少某分项时，该分项为0分。</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6．评标过程中，各种数字计算均精确至小数点后二位。</w:t>
      </w:r>
    </w:p>
    <w:p>
      <w:pPr>
        <w:adjustRightInd w:val="0"/>
        <w:snapToGrid w:val="0"/>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7．政府采购相关政策按照招标文件 “政策性法规”规定执行。</w:t>
      </w:r>
    </w:p>
    <w:p>
      <w:pPr>
        <w:pStyle w:val="10"/>
        <w:rPr>
          <w:highlight w:val="none"/>
        </w:rPr>
      </w:pPr>
    </w:p>
    <w:p>
      <w:pPr>
        <w:pStyle w:val="3"/>
        <w:bidi w:val="0"/>
        <w:rPr>
          <w:highlight w:val="none"/>
        </w:rPr>
      </w:pPr>
      <w:bookmarkStart w:id="17" w:name="_Toc5043"/>
      <w:r>
        <w:rPr>
          <w:rFonts w:hint="eastAsia"/>
          <w:highlight w:val="none"/>
        </w:rPr>
        <w:t>第四部分  采购内容及要求</w:t>
      </w:r>
      <w:bookmarkEnd w:id="17"/>
    </w:p>
    <w:p>
      <w:pPr>
        <w:pStyle w:val="4"/>
        <w:bidi w:val="0"/>
        <w:rPr>
          <w:highlight w:val="none"/>
        </w:rPr>
      </w:pPr>
      <w:bookmarkStart w:id="18" w:name="_Toc4098"/>
      <w:bookmarkStart w:id="19" w:name="_Toc32730"/>
      <w:bookmarkStart w:id="20" w:name="_Toc20161"/>
      <w:r>
        <w:rPr>
          <w:rFonts w:hint="eastAsia"/>
          <w:highlight w:val="none"/>
        </w:rPr>
        <w:t>一、医院信息化发展要求</w:t>
      </w:r>
      <w:bookmarkEnd w:id="18"/>
      <w:bookmarkEnd w:id="19"/>
      <w:bookmarkEnd w:id="20"/>
    </w:p>
    <w:p>
      <w:pPr>
        <w:pStyle w:val="5"/>
        <w:bidi w:val="0"/>
        <w:rPr>
          <w:highlight w:val="none"/>
        </w:rPr>
      </w:pPr>
      <w:bookmarkStart w:id="21" w:name="_Toc451608605"/>
      <w:bookmarkStart w:id="22" w:name="_Toc10398"/>
      <w:bookmarkStart w:id="23" w:name="_Toc451608812"/>
      <w:bookmarkStart w:id="24" w:name="_Toc489824059"/>
      <w:bookmarkStart w:id="25" w:name="_Toc451634264"/>
      <w:bookmarkStart w:id="26" w:name="_Toc29285"/>
      <w:bookmarkStart w:id="27" w:name="_Toc6328"/>
      <w:bookmarkStart w:id="28" w:name="_Toc25378"/>
      <w:bookmarkStart w:id="29" w:name="_Toc17592"/>
      <w:bookmarkStart w:id="30" w:name="_Toc18311"/>
      <w:bookmarkStart w:id="31" w:name="_Toc14843"/>
      <w:bookmarkStart w:id="32" w:name="_Toc10703"/>
      <w:bookmarkStart w:id="33" w:name="_Toc3981"/>
      <w:bookmarkStart w:id="34" w:name="_Toc10712"/>
      <w:bookmarkStart w:id="35" w:name="_Toc14412"/>
      <w:bookmarkStart w:id="36" w:name="_Toc14653"/>
      <w:bookmarkStart w:id="37" w:name="_Toc12895"/>
      <w:bookmarkStart w:id="38" w:name="_Toc19538"/>
      <w:bookmarkStart w:id="39" w:name="_Toc15718"/>
      <w:r>
        <w:rPr>
          <w:highlight w:val="none"/>
        </w:rPr>
        <w:t>1、总体</w:t>
      </w:r>
      <w:bookmarkEnd w:id="21"/>
      <w:bookmarkEnd w:id="22"/>
      <w:bookmarkEnd w:id="23"/>
      <w:bookmarkEnd w:id="24"/>
      <w:bookmarkEnd w:id="25"/>
      <w:bookmarkEnd w:id="26"/>
      <w:r>
        <w:rPr>
          <w:highlight w:val="none"/>
        </w:rPr>
        <w:t>需求</w:t>
      </w:r>
      <w:bookmarkEnd w:id="27"/>
      <w:bookmarkEnd w:id="28"/>
      <w:bookmarkEnd w:id="29"/>
      <w:bookmarkEnd w:id="30"/>
      <w:bookmarkEnd w:id="31"/>
      <w:bookmarkEnd w:id="32"/>
      <w:bookmarkEnd w:id="33"/>
      <w:bookmarkEnd w:id="34"/>
      <w:bookmarkEnd w:id="35"/>
    </w:p>
    <w:bookmarkEnd w:id="36"/>
    <w:bookmarkEnd w:id="37"/>
    <w:bookmarkEnd w:id="38"/>
    <w:bookmarkEnd w:id="39"/>
    <w:p>
      <w:pPr>
        <w:pStyle w:val="2"/>
        <w:bidi w:val="0"/>
        <w:rPr>
          <w:highlight w:val="none"/>
        </w:rPr>
      </w:pPr>
      <w:bookmarkStart w:id="40" w:name="_Toc12473"/>
      <w:bookmarkStart w:id="41" w:name="_Toc14626"/>
      <w:bookmarkStart w:id="42" w:name="_Toc29432"/>
      <w:bookmarkStart w:id="43" w:name="_Toc3539"/>
      <w:bookmarkStart w:id="44" w:name="_Toc24878"/>
      <w:bookmarkStart w:id="45" w:name="_Toc60"/>
      <w:bookmarkStart w:id="46" w:name="_Toc16280"/>
      <w:r>
        <w:rPr>
          <w:rFonts w:hint="eastAsia"/>
          <w:highlight w:val="none"/>
        </w:rPr>
        <w:t>1.1、国家政策的要求</w:t>
      </w:r>
      <w:bookmarkEnd w:id="40"/>
      <w:bookmarkEnd w:id="41"/>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2018年12月，</w:t>
      </w:r>
      <w:r>
        <w:rPr>
          <w:rFonts w:hint="eastAsia" w:ascii="宋体" w:hAnsi="宋体" w:cs="宋体"/>
          <w:color w:val="000000" w:themeColor="text1"/>
          <w:szCs w:val="21"/>
          <w:highlight w:val="none"/>
          <w:lang w:eastAsia="zh-CN"/>
          <w14:textFill>
            <w14:solidFill>
              <w14:schemeClr w14:val="tx1"/>
            </w14:solidFill>
          </w14:textFill>
        </w:rPr>
        <w:t>国家卫健委医政司</w:t>
      </w:r>
      <w:r>
        <w:rPr>
          <w:rFonts w:hint="eastAsia" w:ascii="宋体" w:hAnsi="宋体" w:cs="宋体"/>
          <w:color w:val="000000" w:themeColor="text1"/>
          <w:szCs w:val="21"/>
          <w:highlight w:val="none"/>
          <w14:textFill>
            <w14:solidFill>
              <w14:schemeClr w14:val="tx1"/>
            </w14:solidFill>
          </w14:textFill>
        </w:rPr>
        <w:t>发布《关于印发电子病历系统应用水平分级评价管理办法（试行）及评价标准（试行）的通知》，满足电子病历系统应用水平分级目标。</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按照深化医药卫生体制改革有关工作要求，</w:t>
      </w:r>
      <w:r>
        <w:rPr>
          <w:rFonts w:hint="eastAsia" w:ascii="宋体" w:hAnsi="宋体" w:cs="宋体"/>
          <w:color w:val="000000" w:themeColor="text1"/>
          <w:sz w:val="21"/>
          <w:szCs w:val="21"/>
          <w:highlight w:val="none"/>
          <w:lang w:eastAsia="zh-CN"/>
          <w14:textFill>
            <w14:solidFill>
              <w14:schemeClr w14:val="tx1"/>
            </w14:solidFill>
          </w14:textFill>
        </w:rPr>
        <w:t>国家卫健委</w:t>
      </w:r>
      <w:r>
        <w:rPr>
          <w:rFonts w:hint="eastAsia" w:ascii="宋体" w:hAnsi="宋体" w:cs="宋体"/>
          <w:color w:val="000000" w:themeColor="text1"/>
          <w:sz w:val="21"/>
          <w:szCs w:val="21"/>
          <w:highlight w:val="none"/>
          <w14:textFill>
            <w14:solidFill>
              <w14:schemeClr w14:val="tx1"/>
            </w14:solidFill>
          </w14:textFill>
        </w:rPr>
        <w:t>于2010年启动了以电子病历为核心医院信息化建设试点工作（以下简称试点工作）。为保障试点工作顺利开展，客观、科学评价各医疗机构以电子病历为核心的医院信息系统功能状态、应用水平，有效引导医疗机构合理发展医院信息系统，</w:t>
      </w:r>
      <w:r>
        <w:rPr>
          <w:rFonts w:hint="eastAsia" w:ascii="宋体" w:hAnsi="宋体" w:cs="宋体"/>
          <w:color w:val="000000" w:themeColor="text1"/>
          <w:sz w:val="21"/>
          <w:szCs w:val="21"/>
          <w:highlight w:val="none"/>
          <w:lang w:eastAsia="zh-CN"/>
          <w14:textFill>
            <w14:solidFill>
              <w14:schemeClr w14:val="tx1"/>
            </w14:solidFill>
          </w14:textFill>
        </w:rPr>
        <w:t>国家卫健委</w:t>
      </w:r>
      <w:r>
        <w:rPr>
          <w:rFonts w:hint="eastAsia" w:ascii="宋体" w:hAnsi="宋体" w:cs="宋体"/>
          <w:color w:val="000000" w:themeColor="text1"/>
          <w:sz w:val="21"/>
          <w:szCs w:val="21"/>
          <w:highlight w:val="none"/>
          <w14:textFill>
            <w14:solidFill>
              <w14:schemeClr w14:val="tx1"/>
            </w14:solidFill>
          </w14:textFill>
        </w:rPr>
        <w:t>组织有关专家，在充分借鉴国际经验的基础上，结合我国电子病历发展实际，起草了《电子病历系统功能应用水平分级评价方法及标准（试行）》（以下简称电子病历应用水平分级评价）。</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国家卫健委</w:t>
      </w:r>
      <w:r>
        <w:rPr>
          <w:rFonts w:hint="eastAsia" w:ascii="宋体" w:hAnsi="宋体" w:cs="宋体"/>
          <w:color w:val="000000" w:themeColor="text1"/>
          <w:sz w:val="21"/>
          <w:szCs w:val="21"/>
          <w:highlight w:val="none"/>
          <w14:textFill>
            <w14:solidFill>
              <w14:schemeClr w14:val="tx1"/>
            </w14:solidFill>
          </w14:textFill>
        </w:rPr>
        <w:t>将按照《电子病历系统功能应用水平分级评价方法及标准（试行）》要求，组织和开展对</w:t>
      </w:r>
      <w:r>
        <w:rPr>
          <w:rFonts w:hint="eastAsia" w:ascii="宋体" w:hAnsi="宋体" w:cs="宋体"/>
          <w:color w:val="000000" w:themeColor="text1"/>
          <w:sz w:val="21"/>
          <w:szCs w:val="21"/>
          <w:highlight w:val="none"/>
          <w:lang w:eastAsia="zh-CN"/>
          <w14:textFill>
            <w14:solidFill>
              <w14:schemeClr w14:val="tx1"/>
            </w14:solidFill>
          </w14:textFill>
        </w:rPr>
        <w:t>国家卫健委</w:t>
      </w:r>
      <w:r>
        <w:rPr>
          <w:rFonts w:hint="eastAsia" w:ascii="宋体" w:hAnsi="宋体" w:cs="宋体"/>
          <w:color w:val="000000" w:themeColor="text1"/>
          <w:sz w:val="21"/>
          <w:szCs w:val="21"/>
          <w:highlight w:val="none"/>
          <w14:textFill>
            <w14:solidFill>
              <w14:schemeClr w14:val="tx1"/>
            </w14:solidFill>
          </w14:textFill>
        </w:rPr>
        <w:t>电子病历试点医院进行电子病历系统应用水平分级评价工作。</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卫计委《电子病历系统功能规范（试行）》的定义：电子病历系统（EMRS）：是指医疗机构内部支持电子病历信息的采集、存储、访问和在线帮助，并围绕提高医疗质量、保障医疗安全、提高医疗效率而提供信息处理和智能化服务功能的计算机信息系统，既包括应用于门（急）诊、病房的临床信息系统，也包括检查检验、病理、影像、心电、超声等医技科室的信息系统。</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方各级卫生健康行政部门要组织辖区内二级以上医院按时参加电子病历系统功能应用水平分级评价。到2019年，所有三级医院要达到分级评价3级以上；到2020年，所有三级医院要达到分级评价4级以上，二级医院要达到分级评价3级以上。</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以电子病历为核心的医院信息化建设是公立医院改革的重要内容之一，为保证我国以电子病历为核心的医院信息化建设工作顺利开展，逐步建立适合我国国情的电子病历系统应用水平评估和持续改进体系。</w:t>
      </w:r>
    </w:p>
    <w:p>
      <w:pPr>
        <w:pStyle w:val="2"/>
        <w:bidi w:val="0"/>
        <w:rPr>
          <w:highlight w:val="none"/>
        </w:rPr>
      </w:pPr>
      <w:bookmarkStart w:id="47" w:name="_Toc24876"/>
      <w:r>
        <w:rPr>
          <w:rFonts w:hint="eastAsia"/>
          <w:highlight w:val="none"/>
        </w:rPr>
        <w:t>1.2、医院日常运营的需求</w:t>
      </w:r>
      <w:bookmarkEnd w:id="42"/>
      <w:bookmarkEnd w:id="43"/>
      <w:bookmarkEnd w:id="44"/>
      <w:bookmarkEnd w:id="45"/>
      <w:bookmarkEnd w:id="46"/>
      <w:bookmarkEnd w:id="47"/>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医院信息系统作为一个支撑工具，不但为医院运行和管理提供医疗数据、图文报告、财务数据、影像检验等信息，也为管理者进行科学化决策提供了扎实的技术支撑。其在医院的日常运营管理中、在医疗学术和教学活动中以及医院经济运行（成本核算、绩效考核等）等方面都起到了举足轻重的作用。不但节约了大量的人力资源成本、降低了医院内部管理的资源消耗的同时，更为医院相关科室提供了准确、详细的医疗数据，逐步提高了医院的经济和社会效益。</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因此，信息化作为医院运营的基础工程，是提高医疗服务质量，加强医疗安全管理，辅助医院科学管理的重要和有力手段。</w:t>
      </w:r>
    </w:p>
    <w:p>
      <w:pPr>
        <w:pStyle w:val="5"/>
        <w:bidi w:val="0"/>
        <w:rPr>
          <w:highlight w:val="none"/>
        </w:rPr>
      </w:pPr>
      <w:bookmarkStart w:id="48" w:name="_Toc19146"/>
      <w:bookmarkStart w:id="49" w:name="_Toc9168"/>
      <w:bookmarkStart w:id="50" w:name="_Toc451634265"/>
      <w:bookmarkStart w:id="51" w:name="_Toc451608813"/>
      <w:bookmarkStart w:id="52" w:name="_Toc28802"/>
      <w:bookmarkStart w:id="53" w:name="_Toc170"/>
      <w:bookmarkStart w:id="54" w:name="_Toc12575"/>
      <w:bookmarkStart w:id="55" w:name="_Toc17855"/>
      <w:bookmarkStart w:id="56" w:name="_Toc451608608"/>
      <w:bookmarkStart w:id="57" w:name="_Toc489824060"/>
      <w:bookmarkStart w:id="58" w:name="_Toc160"/>
      <w:bookmarkStart w:id="59" w:name="_Toc340"/>
      <w:bookmarkStart w:id="60" w:name="_Toc1634"/>
      <w:bookmarkStart w:id="61" w:name="_Toc32216"/>
      <w:bookmarkStart w:id="62" w:name="_Toc7218"/>
      <w:r>
        <w:rPr>
          <w:rFonts w:hint="eastAsia"/>
          <w:highlight w:val="none"/>
        </w:rPr>
        <w:t>2.业务需求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Start w:id="63" w:name="_Toc445917449"/>
    </w:p>
    <w:p>
      <w:pPr>
        <w:pStyle w:val="2"/>
        <w:bidi w:val="0"/>
        <w:rPr>
          <w:highlight w:val="none"/>
        </w:rPr>
      </w:pPr>
      <w:bookmarkStart w:id="64" w:name="_Toc382903247"/>
      <w:bookmarkStart w:id="65" w:name="_Toc28821"/>
      <w:bookmarkStart w:id="66" w:name="_Toc445917460"/>
      <w:bookmarkStart w:id="67" w:name="_Toc10025"/>
      <w:bookmarkStart w:id="68" w:name="_Toc382904578"/>
      <w:bookmarkStart w:id="69" w:name="_Toc451608618"/>
      <w:bookmarkStart w:id="70" w:name="_Toc23164"/>
      <w:bookmarkStart w:id="71" w:name="_Toc22391"/>
      <w:bookmarkStart w:id="72" w:name="_Toc382903945"/>
      <w:bookmarkStart w:id="73" w:name="_Toc13072"/>
      <w:bookmarkStart w:id="74" w:name="_Toc4854"/>
      <w:bookmarkStart w:id="75" w:name="_Toc451608609"/>
      <w:r>
        <w:rPr>
          <w:rFonts w:hint="eastAsia"/>
          <w:highlight w:val="none"/>
        </w:rPr>
        <w:t>2.1、实现信息互联互通的需求</w:t>
      </w:r>
      <w:bookmarkEnd w:id="64"/>
      <w:bookmarkEnd w:id="65"/>
      <w:bookmarkEnd w:id="66"/>
      <w:bookmarkEnd w:id="67"/>
      <w:bookmarkEnd w:id="68"/>
      <w:bookmarkEnd w:id="69"/>
      <w:bookmarkEnd w:id="70"/>
      <w:bookmarkEnd w:id="71"/>
      <w:bookmarkEnd w:id="72"/>
      <w:bookmarkEnd w:id="73"/>
      <w:bookmarkEnd w:id="74"/>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当前医院信息系统的建设缺乏“顶层设计”，造成系统操作上的割裂和数据之间通讯的割裂，严重的损坏了业务流程的顺滑。医生护士在给患者治疗的过程中需要切换多个系统，每一个系统都要输入用户名和口令才能登录，增加了医生护士使用信息系统的不方便性和操作的复杂性，不但影响了医生护士的积极性，还影响了工作效率，还在一定程度上加剧了“三长一短”问题，为广大病患带来了不便。</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目前医院采用的点对点的系统集成互连方式，系统接口错综复杂，信息交换规范不统一，数据交换不畅通，形成“蜘蛛网”，导致了系统间耦合度高，版本更新影响范围广、成本大、危险性高。同时各系统间数据交换缺少规则，冗余度高，消耗系统性能，复用性较差，影响业务交换的效率，性能和安全均无法保障。从医院长远发展角度，系统间接口管理混乱及复用性低，导致维护成本的高昂。</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因此需要通过顶层平台设计实现医院各应用系统之间的互联互通，解决医院信息系统的系统异构集成、流程定义、数据共享和数据交换传输标准等关键性技术问题，实现全面集成：</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1、数据集成：通过平台，让各应用系统，在数据层面可以相互交换。</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2、业务集成：通过平台，让各个应用系统，在业务应用层面可以互相调用，在业务流程层面可以实现全院级的业务协同。</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3、界面集成：通过平台，让各个应用系统，实现系统界面的整合。</w:t>
      </w:r>
    </w:p>
    <w:p>
      <w:pPr>
        <w:pStyle w:val="2"/>
        <w:bidi w:val="0"/>
        <w:rPr>
          <w:highlight w:val="none"/>
        </w:rPr>
      </w:pPr>
      <w:bookmarkStart w:id="76" w:name="_Toc26483"/>
      <w:bookmarkStart w:id="77" w:name="_Toc12083"/>
      <w:bookmarkStart w:id="78" w:name="_Toc3146"/>
      <w:bookmarkStart w:id="79" w:name="_Toc18377"/>
      <w:bookmarkStart w:id="80" w:name="_Toc18146"/>
      <w:bookmarkStart w:id="81" w:name="_Toc25242"/>
      <w:r>
        <w:rPr>
          <w:rFonts w:hint="eastAsia"/>
          <w:highlight w:val="none"/>
        </w:rPr>
        <w:t>2.2.流程优化再造的需求</w:t>
      </w:r>
      <w:bookmarkEnd w:id="63"/>
      <w:bookmarkEnd w:id="75"/>
      <w:bookmarkEnd w:id="76"/>
      <w:bookmarkEnd w:id="77"/>
      <w:bookmarkEnd w:id="78"/>
      <w:bookmarkEnd w:id="79"/>
      <w:bookmarkEnd w:id="80"/>
      <w:bookmarkEnd w:id="81"/>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目前医院信息建设模式无法有效支撑医院管理和业务流程的优化。现有医院信息系统受限于其自身角色，还需要和其他系统进行交互，无法站在全局的角度上去审视医院整体。单独的一个或多个系统，难以建立针对某个流程中各关键节点的全程实时监控分析，也无法基于对数据的实证分析，合理、有效地调配资源（如：预约、诊间、手术室配置、医护人员调配）。需要以整体视角和大局观，来实现医院内部对流程的持续优化和再造。</w:t>
      </w:r>
    </w:p>
    <w:p>
      <w:pPr>
        <w:pStyle w:val="2"/>
        <w:bidi w:val="0"/>
        <w:rPr>
          <w:highlight w:val="none"/>
        </w:rPr>
      </w:pPr>
      <w:bookmarkStart w:id="82" w:name="_Toc393812083"/>
      <w:bookmarkStart w:id="83" w:name="_Toc445917451"/>
      <w:bookmarkStart w:id="84" w:name="_Toc30510"/>
      <w:bookmarkStart w:id="85" w:name="_Toc26462"/>
      <w:bookmarkStart w:id="86" w:name="_Toc451608611"/>
      <w:bookmarkStart w:id="87" w:name="_Toc9406"/>
      <w:bookmarkStart w:id="88" w:name="_Toc411702979"/>
      <w:bookmarkStart w:id="89" w:name="_Toc402190125"/>
      <w:bookmarkStart w:id="90" w:name="_Toc4421"/>
      <w:bookmarkStart w:id="91" w:name="_Toc4736"/>
      <w:bookmarkStart w:id="92" w:name="_Toc8013"/>
      <w:bookmarkStart w:id="93" w:name="_Toc384167285"/>
      <w:r>
        <w:rPr>
          <w:rFonts w:hint="eastAsia"/>
          <w:highlight w:val="none"/>
        </w:rPr>
        <w:t>2.3、医院运营管理</w:t>
      </w:r>
      <w:bookmarkEnd w:id="82"/>
      <w:r>
        <w:rPr>
          <w:rFonts w:hint="eastAsia"/>
          <w:highlight w:val="none"/>
        </w:rPr>
        <w:t>决策需求</w:t>
      </w:r>
      <w:bookmarkEnd w:id="83"/>
      <w:bookmarkEnd w:id="84"/>
      <w:bookmarkEnd w:id="85"/>
      <w:bookmarkEnd w:id="86"/>
      <w:bookmarkEnd w:id="87"/>
      <w:bookmarkEnd w:id="88"/>
      <w:bookmarkEnd w:id="89"/>
      <w:bookmarkEnd w:id="90"/>
      <w:bookmarkEnd w:id="91"/>
      <w:bookmarkEnd w:id="92"/>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医院现有信息系统已无法支撑医院运营分析和管理决策要求，对决策层支持不得力，甚至还会因为系统过多导致管理者“致盲”，主要体现在以下三个方面：</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①数据不能共享，形成信息孤岛——数据取不到</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目前现有的各个业务信息系统相互独立，不同业务系统数据未能充分共享以发挥整体综合优势以及管理科室所提出的相关运营需求无法满足，给实现临床后勤业务一体化、运营管理精细化带来了一定的障碍。</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②数据准确性不高——有数据不能用</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医院目前在运营管理各个环节中大量使用人工采集的管理方式，不仅增加了操作人员工作量，更增加了数据错误、操作误差的风险，最重要的是无法建立一个标准的流程和操作接口，对各个环节的标准化控制也很难做到。最终导致各业务系统中的数据与财务数据不一致，成本核算、绩效考核的数据就成了摆设。</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③统计结果不一致——有数据不敢用</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对于医院的各级管理者来说，想了解自己分管部分的整体运行情况，则必须在不同的系统中进行切换查看，而且多个系统中的同一个数据统计还会出现“三个系统三个数”的统计结果不一致现象，在导致医院管理效率低下的同时，有的数据和指标医院只能倒退回到人工采集整理的方式。</w:t>
      </w:r>
    </w:p>
    <w:p>
      <w:pPr>
        <w:pStyle w:val="48"/>
        <w:spacing w:line="240" w:lineRule="auto"/>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因此需要建设平台，实现数据标准统一，实现数据抽取、清晰和集中利用，实现数据共享，提高数据质量问题，解决统计结果不一致问题。</w:t>
      </w:r>
    </w:p>
    <w:p>
      <w:pPr>
        <w:pStyle w:val="2"/>
        <w:bidi w:val="0"/>
        <w:rPr>
          <w:highlight w:val="none"/>
        </w:rPr>
      </w:pPr>
      <w:bookmarkStart w:id="94" w:name="_Toc4258"/>
      <w:bookmarkStart w:id="95" w:name="_Toc20446"/>
      <w:bookmarkStart w:id="96" w:name="_Toc16908"/>
      <w:r>
        <w:rPr>
          <w:rFonts w:hint="eastAsia"/>
          <w:highlight w:val="none"/>
        </w:rPr>
        <w:t>2.4、</w:t>
      </w:r>
      <w:r>
        <w:rPr>
          <w:rFonts w:hint="eastAsia"/>
          <w:highlight w:val="none"/>
          <w:lang w:eastAsia="zh-CN"/>
        </w:rPr>
        <w:t>议员之会</w:t>
      </w:r>
      <w:r>
        <w:rPr>
          <w:rFonts w:hint="eastAsia"/>
          <w:highlight w:val="none"/>
        </w:rPr>
        <w:t>建设需求</w:t>
      </w:r>
      <w:bookmarkEnd w:id="94"/>
      <w:bookmarkEnd w:id="95"/>
      <w:bookmarkEnd w:id="96"/>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目前，国家相关机构对二级以上医院提供智慧服务系统建设的部分规划。</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医院智慧服务是智慧医院建设的重要内容，指医院针对患者的医疗服务需要，应用信息技术改善患者就医体验，加强患者信息互联共享，提升医疗服务智慧化水平的新时代服务模式。建立医院智慧服务分级评估标准体系（Smart Service Scoring System，4S），旨在指导医院以问题和需求为导向持续加强信息化建设、提供智慧服务，为进一步建立智慧医院奠定基础。</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明确医院智慧服务应当实现的功能，为医院建设智慧服务信息系统提供指南，指导医院科学、合理、有序地开发、应用智慧服务信息系统。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引导医院沿着功能实用、信息共享、服务智能的方向，建设完善智慧服务信息系统，使之成为改善患者就医体验、开展全生命周期健康管理的有效工具。</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综合国家多项政策要求，把握政策指导方向，切合实际，注重信息化系统服务，发展中医特色传承；</w:t>
      </w:r>
      <w:r>
        <w:rPr>
          <w:rFonts w:hint="eastAsia" w:ascii="宋体" w:hAnsi="宋体" w:cs="宋体"/>
          <w:color w:val="000000" w:themeColor="text1"/>
          <w:sz w:val="21"/>
          <w:szCs w:val="21"/>
          <w:highlight w:val="none"/>
          <w:lang w:eastAsia="zh-CN"/>
          <w14:textFill>
            <w14:solidFill>
              <w14:schemeClr w14:val="tx1"/>
            </w14:solidFill>
          </w14:textFill>
        </w:rPr>
        <w:t>通过</w:t>
      </w:r>
      <w:r>
        <w:rPr>
          <w:rFonts w:hint="eastAsia" w:ascii="宋体" w:hAnsi="宋体" w:cs="宋体"/>
          <w:color w:val="000000" w:themeColor="text1"/>
          <w:sz w:val="21"/>
          <w:szCs w:val="21"/>
          <w:highlight w:val="none"/>
          <w14:textFill>
            <w14:solidFill>
              <w14:schemeClr w14:val="tx1"/>
            </w14:solidFill>
          </w14:textFill>
        </w:rPr>
        <w:t>电子病历评级4级、放眼5级的新一代中医特色信息化建设是我院的目标。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此次建设必须遵循</w:t>
      </w:r>
      <w:r>
        <w:rPr>
          <w:rFonts w:hint="eastAsia" w:ascii="宋体" w:hAnsi="宋体" w:cs="宋体"/>
          <w:bCs/>
          <w:color w:val="000000" w:themeColor="text1"/>
          <w:szCs w:val="21"/>
          <w:highlight w:val="none"/>
          <w14:textFill>
            <w14:solidFill>
              <w14:schemeClr w14:val="tx1"/>
            </w14:solidFill>
          </w14:textFill>
        </w:rPr>
        <w:t>标准性、先进性、可持续发展性、适合中医特色定制开发性</w:t>
      </w:r>
      <w:r>
        <w:rPr>
          <w:rFonts w:hint="eastAsia" w:ascii="宋体" w:hAnsi="宋体" w:cs="宋体"/>
          <w:color w:val="000000" w:themeColor="text1"/>
          <w:szCs w:val="21"/>
          <w:highlight w:val="none"/>
          <w14:textFill>
            <w14:solidFill>
              <w14:schemeClr w14:val="tx1"/>
            </w14:solidFill>
          </w14:textFill>
        </w:rPr>
        <w:t>等基础要求，满足未来5年以上智慧医院信息化建设应用。</w:t>
      </w:r>
    </w:p>
    <w:bookmarkEnd w:id="93"/>
    <w:p>
      <w:pPr>
        <w:pStyle w:val="4"/>
        <w:bidi w:val="0"/>
        <w:rPr>
          <w:highlight w:val="none"/>
        </w:rPr>
      </w:pPr>
      <w:bookmarkStart w:id="97" w:name="_Toc15297"/>
      <w:bookmarkStart w:id="98" w:name="_Toc31212"/>
      <w:bookmarkStart w:id="99" w:name="_Toc23668"/>
      <w:bookmarkStart w:id="100" w:name="_Toc1929"/>
      <w:bookmarkStart w:id="101" w:name="_Toc21505"/>
      <w:r>
        <w:rPr>
          <w:rFonts w:hint="eastAsia"/>
          <w:highlight w:val="none"/>
        </w:rPr>
        <w:t>二、医院信息化建设意义</w:t>
      </w:r>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随着医院规模的不断扩大，信息化程度的逐渐提高，如何将管理信息系统与临床信息系统协同发展，创新医疗服务的模式，从而全面改善医疗卫生机构的服务能力和水平，成为我们面临的新的问题。医院的信息化技术提供了一个以相对合理的成本为基础，跨整个护理流程管理、临床和行政信息管理、由经济核算到经济分析的机会，从而帮助医院建设起高效、全面的质量管理服务平台，达到患者满意、管理者心中有数的目的。医院的信息化建设将改变很多医院的传统管理模式。因此，医疗信息化建设是深化改革、加强管理和卫生工作现代化新的发展点。医院管理的信息化建设可以提升医院管理的水平</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优化医院管理流程</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提高管理工作效率。随着医院规模的扩大，信息化程度的逐渐提高，如何实现医院管理信息系统与临床信息系统的协同发展，创新医疗服务模式，提高医生和护士的工作效率，继而全面改善医疗卫生机构的服务能力和水平，更好</w:t>
      </w:r>
      <w:r>
        <w:rPr>
          <w:rFonts w:hint="eastAsia" w:ascii="宋体" w:hAnsi="宋体" w:cs="宋体"/>
          <w:color w:val="000000" w:themeColor="text1"/>
          <w:szCs w:val="21"/>
          <w:highlight w:val="none"/>
          <w:lang w:eastAsia="zh-CN"/>
          <w14:textFill>
            <w14:solidFill>
              <w14:schemeClr w14:val="tx1"/>
            </w14:solidFill>
          </w14:textFill>
        </w:rPr>
        <w:t>地</w:t>
      </w:r>
      <w:r>
        <w:rPr>
          <w:rFonts w:hint="eastAsia" w:ascii="宋体" w:hAnsi="宋体" w:eastAsia="宋体" w:cs="宋体"/>
          <w:color w:val="000000" w:themeColor="text1"/>
          <w:szCs w:val="21"/>
          <w:highlight w:val="none"/>
          <w14:textFill>
            <w14:solidFill>
              <w14:schemeClr w14:val="tx1"/>
            </w14:solidFill>
          </w14:textFill>
        </w:rPr>
        <w:t>为人民服务，成为我们面临的新的问题。</w:t>
      </w:r>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我们一定要认清形势，采取有力措施，加快卫生信息化建设，不断提高医院管理水平，为医院医学科技发展</w:t>
      </w:r>
      <w:r>
        <w:rPr>
          <w:rFonts w:hint="eastAsia" w:ascii="宋体" w:hAnsi="宋体" w:cs="宋体"/>
          <w:color w:val="000000" w:themeColor="text1"/>
          <w:szCs w:val="21"/>
          <w:highlight w:val="none"/>
          <w:lang w:eastAsia="zh-CN"/>
          <w14:textFill>
            <w14:solidFill>
              <w14:schemeClr w14:val="tx1"/>
            </w14:solidFill>
          </w14:textFill>
        </w:rPr>
        <w:t>作出</w:t>
      </w:r>
      <w:r>
        <w:rPr>
          <w:rFonts w:hint="eastAsia" w:ascii="宋体" w:hAnsi="宋体" w:eastAsia="宋体" w:cs="宋体"/>
          <w:color w:val="000000" w:themeColor="text1"/>
          <w:szCs w:val="21"/>
          <w:highlight w:val="none"/>
          <w14:textFill>
            <w14:solidFill>
              <w14:schemeClr w14:val="tx1"/>
            </w14:solidFill>
          </w14:textFill>
        </w:rPr>
        <w:t>应有的贡献。医院信息化建设的做法及收到的效果</w:t>
      </w:r>
      <w:r>
        <w:rPr>
          <w:rFonts w:hint="eastAsia" w:ascii="宋体" w:hAnsi="宋体" w:cs="宋体"/>
          <w:color w:val="000000" w:themeColor="text1"/>
          <w:szCs w:val="21"/>
          <w:highlight w:val="none"/>
          <w:lang w:eastAsia="zh-CN"/>
          <w14:textFill>
            <w14:solidFill>
              <w14:schemeClr w14:val="tx1"/>
            </w14:solidFill>
          </w14:textFill>
        </w:rPr>
        <w:t>主要有以下几个</w:t>
      </w:r>
      <w:r>
        <w:rPr>
          <w:rFonts w:hint="eastAsia" w:ascii="宋体" w:hAnsi="宋体" w:eastAsia="宋体" w:cs="宋体"/>
          <w:color w:val="000000" w:themeColor="text1"/>
          <w:szCs w:val="21"/>
          <w:highlight w:val="none"/>
          <w14:textFill>
            <w14:solidFill>
              <w14:schemeClr w14:val="tx1"/>
            </w14:solidFill>
          </w14:textFill>
        </w:rPr>
        <w:t>方面：</w:t>
      </w:r>
    </w:p>
    <w:p>
      <w:pPr>
        <w:pStyle w:val="5"/>
        <w:bidi w:val="0"/>
        <w:rPr>
          <w:rFonts w:hint="eastAsia"/>
          <w:highlight w:val="none"/>
        </w:rPr>
      </w:pPr>
      <w:bookmarkStart w:id="102" w:name="_Toc20279"/>
      <w:bookmarkStart w:id="103" w:name="_Toc17825"/>
      <w:r>
        <w:rPr>
          <w:rFonts w:hint="eastAsia"/>
          <w:highlight w:val="none"/>
        </w:rPr>
        <w:t>1、优化就医环境，提高工作效率</w:t>
      </w:r>
      <w:bookmarkEnd w:id="102"/>
      <w:bookmarkEnd w:id="103"/>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医院信息系统的应用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可以通过提高工作效率，节约了患者看病时间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可以通过计算机自动实时划价收费使患者对医院的医疗收费放心</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还可以通过提高医疗规范为患者提供了更优质的医疗服务，通过医务人员的劳动力从而为患者提供更多的医疗照顾和交流。</w:t>
      </w:r>
    </w:p>
    <w:p>
      <w:pPr>
        <w:pStyle w:val="5"/>
        <w:bidi w:val="0"/>
        <w:rPr>
          <w:rFonts w:hint="eastAsia"/>
          <w:highlight w:val="none"/>
        </w:rPr>
      </w:pPr>
      <w:bookmarkStart w:id="104" w:name="_Toc9615"/>
      <w:bookmarkStart w:id="105" w:name="_Toc24690"/>
      <w:r>
        <w:rPr>
          <w:rFonts w:hint="eastAsia"/>
          <w:highlight w:val="none"/>
        </w:rPr>
        <w:t>2、加强经费管理，提高经济效益</w:t>
      </w:r>
      <w:bookmarkEnd w:id="104"/>
      <w:bookmarkEnd w:id="105"/>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医院医疗经费和物资管理，涉及部门和人员广、流通环节多，是一个十分复杂的问题，而在医院信息系统管理模式下，可实现医疗经费、药品和物资的更有效管理，降低成本，减少浪费，节约和利用卫生资源。</w:t>
      </w:r>
    </w:p>
    <w:p>
      <w:pPr>
        <w:pStyle w:val="5"/>
        <w:bidi w:val="0"/>
        <w:rPr>
          <w:rFonts w:hint="eastAsia"/>
          <w:highlight w:val="none"/>
        </w:rPr>
      </w:pPr>
      <w:bookmarkStart w:id="106" w:name="_Toc20064"/>
      <w:bookmarkStart w:id="107" w:name="_Toc28179"/>
      <w:r>
        <w:rPr>
          <w:rFonts w:hint="eastAsia"/>
          <w:highlight w:val="none"/>
        </w:rPr>
        <w:t>3、科学高效管理，节省运营成本</w:t>
      </w:r>
      <w:bookmarkEnd w:id="106"/>
      <w:bookmarkEnd w:id="107"/>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过在医院实施大规模信息化建设，充分利用计算机网络存储数据及信息的功能，将原来手工环节中的检查单、注射卡、纸张处方、门诊日志等，通过网络传递来解决，信息化建设大大节省了日常开支。通过检验科信息系统与医院管理信息系统的无缝对接，对同一时间、同一仪器上可以检验的标本进行计算，自动合并检验项目，只需一管标本，机器通过条码，调入合并后的检验项目，既减少了试管成本，又减少了工作量，给医院带来了很大的经济效益。另外信息化建设还是一个品牌工程</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不仅方便了病人</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控制了成本，还可以带来很好的社会效益</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为医院的持续发展打下了基础。</w:t>
      </w:r>
    </w:p>
    <w:p>
      <w:pPr>
        <w:pStyle w:val="5"/>
        <w:bidi w:val="0"/>
        <w:rPr>
          <w:rFonts w:hint="eastAsia"/>
          <w:highlight w:val="none"/>
        </w:rPr>
      </w:pPr>
      <w:bookmarkStart w:id="108" w:name="_Toc24809"/>
      <w:bookmarkStart w:id="109" w:name="_Toc30417"/>
      <w:r>
        <w:rPr>
          <w:rFonts w:hint="eastAsia"/>
          <w:highlight w:val="none"/>
        </w:rPr>
        <w:t>4、增强竞争能力，提高全员素质</w:t>
      </w:r>
      <w:bookmarkEnd w:id="108"/>
      <w:bookmarkEnd w:id="109"/>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随着计算机技术在医院各个层次、各个方面、各个部门广泛而深入</w:t>
      </w:r>
      <w:r>
        <w:rPr>
          <w:rFonts w:hint="eastAsia" w:ascii="宋体" w:hAnsi="宋体" w:cs="宋体"/>
          <w:color w:val="000000" w:themeColor="text1"/>
          <w:szCs w:val="21"/>
          <w:highlight w:val="none"/>
          <w:lang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应用，</w:t>
      </w:r>
      <w:r>
        <w:rPr>
          <w:rFonts w:hint="eastAsia" w:ascii="宋体" w:hAnsi="宋体" w:cs="宋体"/>
          <w:color w:val="000000" w:themeColor="text1"/>
          <w:szCs w:val="21"/>
          <w:highlight w:val="none"/>
          <w:lang w:eastAsia="zh-CN"/>
          <w14:textFill>
            <w14:solidFill>
              <w14:schemeClr w14:val="tx1"/>
            </w14:solidFill>
          </w14:textFill>
        </w:rPr>
        <w:t>增强</w:t>
      </w:r>
      <w:r>
        <w:rPr>
          <w:rFonts w:hint="eastAsia" w:ascii="宋体" w:hAnsi="宋体" w:eastAsia="宋体" w:cs="宋体"/>
          <w:color w:val="000000" w:themeColor="text1"/>
          <w:szCs w:val="21"/>
          <w:highlight w:val="none"/>
          <w14:textFill>
            <w14:solidFill>
              <w14:schemeClr w14:val="tx1"/>
            </w14:solidFill>
          </w14:textFill>
        </w:rPr>
        <w:t>和调动了医院各级各类人员学习高科技、运用计算机的主动性和积极性，对医院工作人员进行信息化系统的培训，使他们掌握计算机基本知识和本科室情况，促使了人员素质普遍提高，更加适应医院现代化建设与发展的客观要求。所以，我们应在更大的范围内搞好全院的信息开发、管理和利用，使计算机管理系统更好</w:t>
      </w:r>
      <w:r>
        <w:rPr>
          <w:rFonts w:hint="eastAsia" w:ascii="宋体" w:hAnsi="宋体" w:cs="宋体"/>
          <w:color w:val="000000" w:themeColor="text1"/>
          <w:szCs w:val="21"/>
          <w:highlight w:val="none"/>
          <w:lang w:eastAsia="zh-CN"/>
          <w14:textFill>
            <w14:solidFill>
              <w14:schemeClr w14:val="tx1"/>
            </w14:solidFill>
          </w14:textFill>
        </w:rPr>
        <w:t>地</w:t>
      </w:r>
      <w:r>
        <w:rPr>
          <w:rFonts w:hint="eastAsia" w:ascii="宋体" w:hAnsi="宋体" w:eastAsia="宋体" w:cs="宋体"/>
          <w:color w:val="000000" w:themeColor="text1"/>
          <w:szCs w:val="21"/>
          <w:highlight w:val="none"/>
          <w14:textFill>
            <w14:solidFill>
              <w14:schemeClr w14:val="tx1"/>
            </w14:solidFill>
          </w14:textFill>
        </w:rPr>
        <w:t>为医院服务，更好</w:t>
      </w:r>
      <w:r>
        <w:rPr>
          <w:rFonts w:hint="eastAsia" w:ascii="宋体" w:hAnsi="宋体" w:cs="宋体"/>
          <w:color w:val="000000" w:themeColor="text1"/>
          <w:szCs w:val="21"/>
          <w:highlight w:val="none"/>
          <w:lang w:eastAsia="zh-CN"/>
          <w14:textFill>
            <w14:solidFill>
              <w14:schemeClr w14:val="tx1"/>
            </w14:solidFill>
          </w14:textFill>
        </w:rPr>
        <w:t>地</w:t>
      </w:r>
      <w:r>
        <w:rPr>
          <w:rFonts w:hint="eastAsia" w:ascii="宋体" w:hAnsi="宋体" w:eastAsia="宋体" w:cs="宋体"/>
          <w:color w:val="000000" w:themeColor="text1"/>
          <w:szCs w:val="21"/>
          <w:highlight w:val="none"/>
          <w14:textFill>
            <w14:solidFill>
              <w14:schemeClr w14:val="tx1"/>
            </w14:solidFill>
          </w14:textFill>
        </w:rPr>
        <w:t>体现“以病人为中心，以医疗质量为核心”的经营理念。</w:t>
      </w:r>
      <w:bookmarkStart w:id="110" w:name="_Toc3589"/>
      <w:bookmarkStart w:id="111" w:name="_Toc9959"/>
    </w:p>
    <w:p>
      <w:pPr>
        <w:pStyle w:val="5"/>
        <w:bidi w:val="0"/>
        <w:rPr>
          <w:rFonts w:hint="eastAsia"/>
          <w:highlight w:val="none"/>
        </w:rPr>
      </w:pPr>
      <w:r>
        <w:rPr>
          <w:rFonts w:hint="eastAsia"/>
          <w:highlight w:val="none"/>
        </w:rPr>
        <w:t>5、区域化</w:t>
      </w:r>
      <w:r>
        <w:rPr>
          <w:rFonts w:hint="eastAsia"/>
          <w:highlight w:val="none"/>
          <w:lang w:eastAsia="zh-CN"/>
        </w:rPr>
        <w:t>地</w:t>
      </w:r>
      <w:r>
        <w:rPr>
          <w:rFonts w:hint="eastAsia"/>
          <w:highlight w:val="none"/>
        </w:rPr>
        <w:t>管理，提高诊疗效率</w:t>
      </w:r>
      <w:bookmarkEnd w:id="110"/>
      <w:bookmarkEnd w:id="111"/>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现基本公共卫生服务、医疗服务、新农合、基本药物、综合管理等业务应用系统互联起来，实现“以电子病历为核心”的医院数字化建设和“以居民个人电子健康档案为核心”的区域卫生信息共享平台，在平台的基础上实现居民健康卡“一卡通”便民医疗卫生服务体系，以及卫生业务综合监管和决策支持等方面的管理。</w:t>
      </w:r>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总之，使病人</w:t>
      </w:r>
      <w:r>
        <w:rPr>
          <w:rFonts w:hint="eastAsia" w:ascii="宋体" w:hAnsi="宋体" w:cs="宋体"/>
          <w:color w:val="000000" w:themeColor="text1"/>
          <w:szCs w:val="21"/>
          <w:highlight w:val="none"/>
          <w:lang w:eastAsia="zh-CN"/>
          <w14:textFill>
            <w14:solidFill>
              <w14:schemeClr w14:val="tx1"/>
            </w14:solidFill>
          </w14:textFill>
        </w:rPr>
        <w:t>赶到医院</w:t>
      </w:r>
      <w:r>
        <w:rPr>
          <w:rFonts w:hint="eastAsia" w:ascii="宋体" w:hAnsi="宋体" w:eastAsia="宋体" w:cs="宋体"/>
          <w:color w:val="000000" w:themeColor="text1"/>
          <w:szCs w:val="21"/>
          <w:highlight w:val="none"/>
          <w14:textFill>
            <w14:solidFill>
              <w14:schemeClr w14:val="tx1"/>
            </w14:solidFill>
          </w14:textFill>
        </w:rPr>
        <w:t>收费透明合理、管理正规有序、看病方便快捷，从而使在同等条件下更能赢得病人信赖，这种良好的医院形象成为今后医疗市场竞争中十分重要的因素。</w:t>
      </w:r>
      <w:bookmarkStart w:id="112" w:name="_Toc9253"/>
    </w:p>
    <w:p>
      <w:pPr>
        <w:pStyle w:val="4"/>
        <w:bidi w:val="0"/>
        <w:rPr>
          <w:highlight w:val="none"/>
        </w:rPr>
      </w:pPr>
      <w:r>
        <w:rPr>
          <w:rFonts w:hint="eastAsia"/>
          <w:highlight w:val="none"/>
        </w:rPr>
        <w:t>三、医院信息现状</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2004年开始上马医院信息系统，随着工作需求先后进行了四次系统升级与补丁，基本满足医院工作需要，但与国家、省市要求相差太大，加之原系统功能升级受限.在2018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2020年国家医院电子病历系统功能应用水平分级评价中被评为0级，严重影响医院二级医院考核成绩。同进随着时作进步，对医院信息工作提出更高要求，为了医院长远发展，经医院</w:t>
      </w:r>
      <w:r>
        <w:rPr>
          <w:rFonts w:hint="eastAsia" w:ascii="宋体" w:hAnsi="宋体" w:cs="宋体"/>
          <w:color w:val="000000" w:themeColor="text1"/>
          <w:szCs w:val="21"/>
          <w:highlight w:val="none"/>
          <w:lang w:eastAsia="zh-CN"/>
          <w14:textFill>
            <w14:solidFill>
              <w14:schemeClr w14:val="tx1"/>
            </w14:solidFill>
          </w14:textFill>
        </w:rPr>
        <w:t>调查研究</w:t>
      </w:r>
      <w:r>
        <w:rPr>
          <w:rFonts w:hint="eastAsia" w:ascii="宋体" w:hAnsi="宋体" w:cs="宋体"/>
          <w:color w:val="000000" w:themeColor="text1"/>
          <w:szCs w:val="21"/>
          <w:highlight w:val="none"/>
          <w14:textFill>
            <w14:solidFill>
              <w14:schemeClr w14:val="tx1"/>
            </w14:solidFill>
          </w14:textFill>
        </w:rPr>
        <w:t>后，迫切需要更换改造医院信息系统。</w:t>
      </w:r>
    </w:p>
    <w:p>
      <w:pPr>
        <w:pStyle w:val="4"/>
        <w:bidi w:val="0"/>
        <w:rPr>
          <w:highlight w:val="none"/>
        </w:rPr>
      </w:pPr>
      <w:r>
        <w:rPr>
          <w:rFonts w:hint="eastAsia"/>
          <w:highlight w:val="none"/>
        </w:rPr>
        <w:t>四、</w:t>
      </w:r>
      <w:r>
        <w:rPr>
          <w:rFonts w:hint="eastAsia"/>
          <w:highlight w:val="none"/>
          <w:lang w:eastAsia="zh-CN"/>
        </w:rPr>
        <w:t>议员之会</w:t>
      </w:r>
      <w:r>
        <w:rPr>
          <w:rFonts w:hint="eastAsia"/>
          <w:highlight w:val="none"/>
        </w:rPr>
        <w:t>医院信息化建设要求</w:t>
      </w:r>
      <w:bookmarkEnd w:id="112"/>
    </w:p>
    <w:p>
      <w:pPr>
        <w:pStyle w:val="5"/>
        <w:bidi w:val="0"/>
        <w:rPr>
          <w:highlight w:val="none"/>
        </w:rPr>
      </w:pPr>
      <w:r>
        <w:rPr>
          <w:rFonts w:hint="eastAsia"/>
          <w:highlight w:val="none"/>
        </w:rPr>
        <w:t>1.政策要求</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“十四五”是落实</w:t>
      </w:r>
      <w:r>
        <w:rPr>
          <w:rFonts w:hint="eastAsia" w:ascii="宋体" w:hAnsi="宋体" w:cs="宋体"/>
          <w:color w:val="000000" w:themeColor="text1"/>
          <w:szCs w:val="21"/>
          <w:highlight w:val="none"/>
          <w:lang w:eastAsia="zh-CN"/>
          <w14:textFill>
            <w14:solidFill>
              <w14:schemeClr w14:val="tx1"/>
            </w14:solidFill>
          </w14:textFill>
        </w:rPr>
        <w:t>中共中央、国务院</w:t>
      </w:r>
      <w:r>
        <w:rPr>
          <w:rFonts w:hint="eastAsia" w:ascii="宋体" w:hAnsi="宋体" w:cs="宋体"/>
          <w:color w:val="000000" w:themeColor="text1"/>
          <w:szCs w:val="21"/>
          <w:highlight w:val="none"/>
          <w14:textFill>
            <w14:solidFill>
              <w14:schemeClr w14:val="tx1"/>
            </w14:solidFill>
          </w14:textFill>
        </w:rPr>
        <w:t>《健康中国2030规划纲要》提出的完善人口健康信息服务体系建设和推进健康医疗大数据应用的支撑保障要求的关键阶段，也是《中华人民共和国基本医疗卫生与健康促进法》施行的第一个五年。《中华人民共和国基本医疗卫生与健康促进法》第四十九条提出：“国家推进全民健康信息化，推动健康医疗大数据、人工智能等的应用发展，加快医疗卫生信息基础设施建设，制定健康医疗数据采集、存储、分析和应用的技术标准，运用信息技术促进优质医疗卫生资源的普及与共享。县级以上人民政府及其有关部门应当采取措施，推进信息技术在医疗卫生领域和医学教育中的应用，支持探索发展医疗卫生服务新模式、新业态。国家采取措施，推进医疗卫生机构建立健全医疗卫生信息交流和信息安全制度，应用信息技术开展远程医疗服务，构建线上线下一体化医疗服务模式。”</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四五”将是医院信息化建设的创新发展阶段，各级医院应对标《全国医院信息化建设标准与规范（试行）》，跟进国家和行业对医院信息化建设发展要求，积极展开医院信息化建设，结合等级医院评审、医院信息互联互通标准化成熟度测评、电子病历系统应用水平分级评价、医院智慧服务分级评估、信息系统安全等级保护评测等国家和行业的相关评测，促进医院信息化建设发展。</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本次信息化设计必须遵循以下政策要求，后续医院发展信息化相关建设要求在本次建设基础上续建升级，不能存在浪费此次基础建设情况：</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（1）全国医院信息化建设标准与规范</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试行</w:t>
      </w:r>
      <w:r>
        <w:rPr>
          <w:rFonts w:hint="eastAsia" w:ascii="宋体" w:hAnsi="宋体" w:cs="宋体"/>
          <w:b/>
          <w:bCs/>
          <w:color w:val="000000" w:themeColor="text1"/>
          <w:szCs w:val="21"/>
          <w:highlight w:val="none"/>
          <w:lang w:eastAsia="zh-CN"/>
          <w14:textFill>
            <w14:solidFill>
              <w14:schemeClr w14:val="tx1"/>
            </w14:solidFill>
          </w14:textFill>
        </w:rPr>
        <w:t>）</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关于印发全国医院信息化建设标准与规范（试行）的通知</w:t>
      </w:r>
      <w:r>
        <w:rPr>
          <w:rFonts w:hint="eastAsia" w:ascii="宋体" w:hAnsi="宋体" w:cs="宋体"/>
          <w:color w:val="000000" w:themeColor="text1"/>
          <w:szCs w:val="21"/>
          <w:highlight w:val="none"/>
          <w14:textFill>
            <w14:solidFill>
              <w14:schemeClr w14:val="tx1"/>
            </w14:solidFill>
          </w14:textFill>
        </w:rPr>
        <w:t>》（国卫办规划发〔2018〕4号）</w:t>
      </w:r>
    </w:p>
    <w:p>
      <w:pPr>
        <w:pStyle w:val="10"/>
        <w:ind w:left="180" w:firstLine="420"/>
        <w:rPr>
          <w:rFonts w:ascii="宋体" w:hAnsi="宋体" w:cs="宋体"/>
          <w:b/>
          <w:sz w:val="21"/>
          <w:szCs w:val="21"/>
          <w:highlight w:val="none"/>
        </w:rPr>
      </w:pPr>
      <w:r>
        <w:rPr>
          <w:rFonts w:hint="eastAsia" w:ascii="宋体" w:hAnsi="宋体" w:cs="宋体"/>
          <w:b/>
          <w:sz w:val="21"/>
          <w:szCs w:val="21"/>
          <w:highlight w:val="none"/>
        </w:rPr>
        <w:t>（2）陕西省医院信息化建设规范（2019版）</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（3）电子病历评级</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《关于印发电子病历系统应用水平分级评价管理办法（试行）及评价标准（试行）的通知》（国卫办医函〔2018〕1079号）</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（4）互联互通测评</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《国家卫生健康委统计信息中心关于印发医院信息互联互通标准化成熟度测评方案</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2020年版</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国卫统信便函</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2020</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30号</w:t>
      </w:r>
      <w:r>
        <w:rPr>
          <w:rFonts w:hint="eastAsia" w:ascii="宋体" w:hAnsi="宋体" w:cs="宋体"/>
          <w:color w:val="000000" w:themeColor="text1"/>
          <w:szCs w:val="21"/>
          <w:highlight w:val="none"/>
          <w:lang w:eastAsia="zh-CN"/>
          <w14:textFill>
            <w14:solidFill>
              <w14:schemeClr w14:val="tx1"/>
            </w14:solidFill>
          </w14:textFill>
        </w:rPr>
        <w:t>）</w:t>
      </w:r>
    </w:p>
    <w:p>
      <w:pPr>
        <w:ind w:firstLine="422" w:firstLineChars="200"/>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互联网医院</w:t>
      </w:r>
    </w:p>
    <w:p>
      <w:pPr>
        <w:ind w:firstLine="420"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《国务院办公厅关于促进“互联网+医疗健康”发展的意见》（国办发〔2018〕26号）</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（6）全民健康信息平台数据采集标准</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《安康市卫计局关于做好全民健康信息平台数据准备工作的通知》（安卫计函〔2018〕373号）</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（7）医院智慧服务分级评估标准体系（试行）</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《国家卫生健康委办公厅关于印发医院智慧服务分级评估标准体系（试行）的通知》（国卫办医函〔2019〕236号）</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（8）二级公立中医医院绩效考核评价指标</w:t>
      </w:r>
    </w:p>
    <w:p>
      <w:pPr>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《国家中医药管理局办公室关于采集二级及三级公立中医医院2019年度绩效考核数据有关工作的通知》（国中医药办医政函〔2020〕156号）</w:t>
      </w:r>
    </w:p>
    <w:p>
      <w:pPr>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（9）信息安全等级保护</w:t>
      </w:r>
    </w:p>
    <w:p>
      <w:pPr>
        <w:ind w:firstLine="420" w:firstLineChars="200"/>
        <w:jc w:val="left"/>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信息安全技术网络安全等级保护基本要求</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GBT22239-2019</w:t>
      </w:r>
      <w:r>
        <w:rPr>
          <w:rFonts w:hint="eastAsia" w:ascii="宋体" w:hAnsi="宋体" w:cs="宋体"/>
          <w:b/>
          <w:bCs/>
          <w:color w:val="000000" w:themeColor="text1"/>
          <w:szCs w:val="21"/>
          <w:highlight w:val="none"/>
          <w14:textFill>
            <w14:solidFill>
              <w14:schemeClr w14:val="tx1"/>
            </w14:solidFill>
          </w14:textFill>
        </w:rPr>
        <w:t>）</w:t>
      </w:r>
    </w:p>
    <w:p>
      <w:pPr>
        <w:pStyle w:val="5"/>
        <w:bidi w:val="0"/>
        <w:rPr>
          <w:highlight w:val="none"/>
        </w:rPr>
      </w:pPr>
      <w:r>
        <w:rPr>
          <w:rFonts w:hint="eastAsia"/>
          <w:highlight w:val="none"/>
        </w:rPr>
        <w:t>2、商务要求</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（1）送货、安装、调试、培训等费用全部包含。</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（2）所</w:t>
      </w:r>
      <w:r>
        <w:rPr>
          <w:rFonts w:hint="eastAsia" w:ascii="宋体" w:hAnsi="宋体" w:cs="宋体"/>
          <w:color w:val="000000" w:themeColor="text1"/>
          <w:szCs w:val="21"/>
          <w:highlight w:val="none"/>
          <w:lang w:eastAsia="zh-CN"/>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的所有产品为原厂原装正品，有对应的知识产权，符合国家有关规范要求，保证技术指标先进、质量性能可靠，全面满足技术要求。</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（3）安排工程师至少一年驻现场服务。</w:t>
      </w:r>
    </w:p>
    <w:p>
      <w:pPr>
        <w:pStyle w:val="10"/>
        <w:ind w:firstLine="420" w:firstLineChars="200"/>
        <w:rPr>
          <w:rFonts w:ascii="宋体" w:hAnsi="宋体" w:cs="宋体"/>
          <w:sz w:val="21"/>
          <w:szCs w:val="21"/>
          <w:highlight w:val="none"/>
        </w:rPr>
      </w:pPr>
      <w:r>
        <w:rPr>
          <w:rFonts w:hint="eastAsia" w:ascii="宋体" w:hAnsi="宋体" w:cs="宋体"/>
          <w:color w:val="000000" w:themeColor="text1"/>
          <w:sz w:val="21"/>
          <w:szCs w:val="21"/>
          <w:highlight w:val="none"/>
          <w14:textFill>
            <w14:solidFill>
              <w14:schemeClr w14:val="tx1"/>
            </w14:solidFill>
          </w14:textFill>
        </w:rPr>
        <w:t>（4）必须提供7*24小时系统故障电话响应，远程网络协助、现场故障排除等服务方式。2个小时到达故障现场处理。</w:t>
      </w:r>
    </w:p>
    <w:p>
      <w:pPr>
        <w:pStyle w:val="5"/>
        <w:bidi w:val="0"/>
        <w:rPr>
          <w:highlight w:val="none"/>
        </w:rPr>
      </w:pPr>
      <w:r>
        <w:rPr>
          <w:rFonts w:hint="eastAsia"/>
          <w:highlight w:val="none"/>
        </w:rPr>
        <w:t>3、建设要求</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（1）系统以通过国家电子病历系统功能应用水平分级评价（三级）为最基本要求，并预留电子病历系统功能应用水平分级评价过四级及以上功能。</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（2）软件公司配合医院完成电子病历系统功能应用水平分级评价</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（3）所有上线使用软件系统产生的数据必须做到互联互通，不能形成信息孤岛。</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（4）无偿兼容医保、二级医院考核、居民健康信息、移动护士站陕西药械采购网，满足官方需要对接接口和省市县政策需要规范和技术要求。</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（5）无偿提供医院搬迁后信息移网工作。</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（6）数据中心、IP地址设计规划合理，能够保证软件系统长期稳定高效运行。</w:t>
      </w:r>
    </w:p>
    <w:p>
      <w:pPr>
        <w:pStyle w:val="10"/>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（7）公司有经验及案例使医院过电子病历评级4级</w:t>
      </w:r>
    </w:p>
    <w:p>
      <w:pPr>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（8）软件遵循医共体发展，集成分院权限，同一界面可切换登录不同院区系统（超前设计、满足未来发展）。</w:t>
      </w:r>
    </w:p>
    <w:p>
      <w:pPr>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（9）在工程建设期间高效响应医院需求，无偿配合医院完成省市县相关部门所下达的政策性文件、本次系统建设基础上的</w:t>
      </w:r>
      <w:r>
        <w:rPr>
          <w:rFonts w:hint="eastAsia" w:ascii="宋体" w:hAnsi="宋体" w:eastAsia="宋体" w:cs="宋体"/>
          <w:color w:val="000000" w:themeColor="text1"/>
          <w:sz w:val="21"/>
          <w:szCs w:val="21"/>
          <w:highlight w:val="none"/>
          <w14:textFill>
            <w14:solidFill>
              <w14:schemeClr w14:val="tx1"/>
            </w14:solidFill>
          </w14:textFill>
        </w:rPr>
        <w:t>接口视图或数据调取工作。</w:t>
      </w:r>
    </w:p>
    <w:p>
      <w:pPr>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（10）软件设计具备居民健康卡从实体卡到电子卡的升级改造环境。</w:t>
      </w:r>
    </w:p>
    <w:p>
      <w:pPr>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（11）本项目所包含所有建设内容的售后维保工作均由中标单位负责。</w:t>
      </w:r>
    </w:p>
    <w:p>
      <w:pPr>
        <w:pStyle w:val="1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技术补充要求：</w:t>
      </w:r>
    </w:p>
    <w:p>
      <w:pPr>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门诊电子病历：</w:t>
      </w:r>
      <w:r>
        <w:rPr>
          <w:rFonts w:hint="eastAsia" w:ascii="宋体" w:hAnsi="宋体" w:eastAsia="宋体" w:cs="宋体"/>
          <w:color w:val="000000" w:themeColor="text1"/>
          <w:sz w:val="21"/>
          <w:szCs w:val="21"/>
          <w:highlight w:val="none"/>
          <w14:textFill>
            <w14:solidFill>
              <w14:schemeClr w14:val="tx1"/>
            </w14:solidFill>
          </w14:textFill>
        </w:rPr>
        <w:t>当日医生的门诊日志生成及查看，一键直接调出就诊患者的历史历次门诊、住院就诊完整病历查阅。按时间、主要疾病两个维度显示患者历次就诊完整病历。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能</w:t>
      </w:r>
      <w:r>
        <w:rPr>
          <w:rFonts w:hint="eastAsia" w:ascii="宋体" w:hAnsi="宋体" w:eastAsia="宋体" w:cs="宋体"/>
          <w:color w:val="000000" w:themeColor="text1"/>
          <w:sz w:val="21"/>
          <w:szCs w:val="21"/>
          <w:highlight w:val="none"/>
          <w14:textFill>
            <w14:solidFill>
              <w14:schemeClr w14:val="tx1"/>
            </w14:solidFill>
          </w14:textFill>
        </w:rPr>
        <w:t>按申请和按报告两种方式查看检查检验信息，对于有多个报告，支持在不打开具体报告单时能查看报告单核心信息功能。</w:t>
      </w:r>
    </w:p>
    <w:p>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住院电子病历：1、</w:t>
      </w:r>
      <w:r>
        <w:rPr>
          <w:rFonts w:hint="eastAsia" w:ascii="宋体" w:hAnsi="宋体" w:eastAsia="宋体" w:cs="宋体"/>
          <w:color w:val="000000" w:themeColor="text1"/>
          <w:sz w:val="21"/>
          <w:szCs w:val="21"/>
          <w:highlight w:val="none"/>
          <w14:textFill>
            <w14:solidFill>
              <w14:schemeClr w14:val="tx1"/>
            </w14:solidFill>
          </w14:textFill>
        </w:rPr>
        <w:t>在不用打开所有病程记录情况下，能支持医生查看到逐条病程记录的缩略信息。支持病程中关键信息（症状、疾病、检</w:t>
      </w:r>
      <w:r>
        <w:rPr>
          <w:rFonts w:hint="eastAsia" w:ascii="宋体" w:hAnsi="宋体" w:eastAsia="宋体" w:cs="宋体"/>
          <w:color w:val="000000" w:themeColor="text1"/>
          <w:szCs w:val="21"/>
          <w:highlight w:val="none"/>
          <w14:textFill>
            <w14:solidFill>
              <w14:schemeClr w14:val="tx1"/>
            </w14:solidFill>
          </w14:textFill>
        </w:rPr>
        <w:t>查、检验项目等）选中后使用快捷键调出关键信息有关的知识库，调出的知识库要求有一定结构化数据，方便直接点击查询调阅。</w:t>
      </w:r>
    </w:p>
    <w:p>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支持单独的病历图片和</w:t>
      </w:r>
      <w:r>
        <w:rPr>
          <w:rFonts w:hint="eastAsia" w:ascii="宋体" w:hAnsi="宋体" w:eastAsia="宋体" w:cs="宋体"/>
          <w:color w:val="000000" w:themeColor="text1"/>
          <w:szCs w:val="21"/>
          <w:highlight w:val="none"/>
          <w:lang w:val="zh-CN"/>
          <w14:textFill>
            <w14:solidFill>
              <w14:schemeClr w14:val="tx1"/>
            </w14:solidFill>
          </w14:textFill>
        </w:rPr>
        <w:t>影音记录功能，并且支持</w:t>
      </w:r>
      <w:r>
        <w:rPr>
          <w:rFonts w:hint="eastAsia" w:ascii="宋体" w:hAnsi="宋体" w:eastAsia="宋体" w:cs="宋体"/>
          <w:color w:val="000000" w:themeColor="text1"/>
          <w:szCs w:val="21"/>
          <w:highlight w:val="none"/>
          <w14:textFill>
            <w14:solidFill>
              <w14:schemeClr w14:val="tx1"/>
            </w14:solidFill>
          </w14:textFill>
        </w:rPr>
        <w:t>病历图片和</w:t>
      </w:r>
      <w:r>
        <w:rPr>
          <w:rFonts w:hint="eastAsia" w:ascii="宋体" w:hAnsi="宋体" w:eastAsia="宋体" w:cs="宋体"/>
          <w:color w:val="000000" w:themeColor="text1"/>
          <w:szCs w:val="21"/>
          <w:highlight w:val="none"/>
          <w:lang w:val="zh-CN"/>
          <w14:textFill>
            <w14:solidFill>
              <w14:schemeClr w14:val="tx1"/>
            </w14:solidFill>
          </w14:textFill>
        </w:rPr>
        <w:t>影音记录说明，支持缩略图和大图查看，支持影音记录播放</w:t>
      </w:r>
      <w:r>
        <w:rPr>
          <w:rFonts w:hint="eastAsia" w:ascii="宋体" w:hAnsi="宋体" w:eastAsia="宋体" w:cs="宋体"/>
          <w:color w:val="000000" w:themeColor="text1"/>
          <w:szCs w:val="21"/>
          <w:highlight w:val="none"/>
          <w14:textFill>
            <w14:solidFill>
              <w14:schemeClr w14:val="tx1"/>
            </w14:solidFill>
          </w14:textFill>
        </w:rPr>
        <w:t>。</w:t>
      </w:r>
    </w:p>
    <w:p>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支持纯BS架构的结构化电子病历录入功能，病历录入中能够实现文档结构编辑、能够支持加粗、上标、下标、字体等格式调整；能够支持插入批注、回复等功能并显示在文档右侧。</w:t>
      </w:r>
    </w:p>
    <w:p>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能够支持病历复制功能，能够复制</w:t>
      </w:r>
      <w:r>
        <w:rPr>
          <w:rFonts w:hint="eastAsia" w:ascii="宋体" w:hAnsi="宋体" w:cs="宋体"/>
          <w:color w:val="000000" w:themeColor="text1"/>
          <w:szCs w:val="21"/>
          <w:highlight w:val="none"/>
          <w:lang w:eastAsia="zh-C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模板、</w:t>
      </w:r>
      <w:r>
        <w:rPr>
          <w:rFonts w:hint="eastAsia" w:ascii="宋体" w:hAnsi="宋体" w:cs="宋体"/>
          <w:color w:val="000000" w:themeColor="text1"/>
          <w:szCs w:val="21"/>
          <w:highlight w:val="none"/>
          <w:lang w:eastAsia="zh-CN"/>
          <w14:textFill>
            <w14:solidFill>
              <w14:schemeClr w14:val="tx1"/>
            </w14:solidFill>
          </w14:textFill>
        </w:rPr>
        <w:t>其他患者</w:t>
      </w:r>
      <w:r>
        <w:rPr>
          <w:rFonts w:hint="eastAsia" w:ascii="宋体" w:hAnsi="宋体" w:eastAsia="宋体" w:cs="宋体"/>
          <w:color w:val="000000" w:themeColor="text1"/>
          <w:szCs w:val="21"/>
          <w:highlight w:val="none"/>
          <w14:textFill>
            <w14:solidFill>
              <w14:schemeClr w14:val="tx1"/>
            </w14:solidFill>
          </w14:textFill>
        </w:rPr>
        <w:t>病历、本人历史病历的内容、检查检验申请单中的内容、检验申请单中阳性指标的内容、病程内容、医嘱内容、中西医诊断内容等。</w:t>
      </w:r>
    </w:p>
    <w:p>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能够支持插入特殊符号、词条的功能，支持查询医学公式编辑器（包括月经史、胎心图、瞳孔图、光定位、牙图））。</w:t>
      </w:r>
    </w:p>
    <w:p>
      <w:pPr>
        <w:ind w:firstLine="420" w:firstLineChars="20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集中展示患者 DDDS、本次住院所有应用过的抗菌药（包括显示对应医嘱详情）、所有抗菌药应用过程记录（包含用药目的、感染部位、炎症指标、微生物送检等）、特殊级抗菌药申请审批记录等。医嘱显示中需明确表达该医嘱药品</w:t>
      </w:r>
      <w:r>
        <w:rPr>
          <w:rFonts w:hint="eastAsia" w:ascii="宋体" w:hAnsi="宋体" w:cs="宋体"/>
          <w:color w:val="000000" w:themeColor="text1"/>
          <w:szCs w:val="21"/>
          <w:highlight w:val="none"/>
          <w:lang w:eastAsia="zh-CN"/>
          <w14:textFill>
            <w14:solidFill>
              <w14:schemeClr w14:val="tx1"/>
            </w14:solidFill>
          </w14:textFill>
        </w:rPr>
        <w:t>是</w:t>
      </w:r>
      <w:r>
        <w:rPr>
          <w:rFonts w:hint="eastAsia" w:ascii="宋体" w:hAnsi="宋体" w:eastAsia="宋体" w:cs="宋体"/>
          <w:color w:val="000000" w:themeColor="text1"/>
          <w:szCs w:val="21"/>
          <w:highlight w:val="none"/>
          <w14:textFill>
            <w14:solidFill>
              <w14:schemeClr w14:val="tx1"/>
            </w14:solidFill>
          </w14:textFill>
        </w:rPr>
        <w:t>抗菌药，并直接调出该医嘱的抗菌药过程记录。</w:t>
      </w:r>
    </w:p>
    <w:p>
      <w:pPr>
        <w:ind w:firstLine="420" w:firstLineChars="20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护理电子病历：1、</w:t>
      </w:r>
      <w:r>
        <w:rPr>
          <w:rFonts w:hint="eastAsia" w:ascii="宋体" w:hAnsi="宋体" w:eastAsia="宋体" w:cs="宋体"/>
          <w:color w:val="000000" w:themeColor="text1"/>
          <w:szCs w:val="21"/>
          <w:highlight w:val="none"/>
          <w14:textFill>
            <w14:solidFill>
              <w14:schemeClr w14:val="tx1"/>
            </w14:solidFill>
          </w14:textFill>
        </w:rPr>
        <w:t>为解决住院护士对患者医嘱便捷管理，集成化的医嘱管理功能。1.在同一界面上快速实现医嘱转抄、处理、停止确认、召回、校对，临床执行，医嘱单打印等有关功能</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2.各类功能下支持快速切换多人，单人模式。方便护士批量处理，单个患者定位的需求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3.医嘱校对提供相关药品，费用汇总，明细同时展示，方便护士知晓整个医嘱生命周期闭环管理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4.支持长期、临时，药品，医疗，特殊医嘱快速过滤条件进行过滤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能够实现一般护理记录文书的新增、追加、打印、删除等功能，一般护理记录提供表格方式录入，能够对表格数据进行上移、下移、删除行、之前插入行、之后插入行等功能，在表格的任意位置可以对护理记录进行小结与总结、小结与总结能够进行颜色区分，护理记录提供多签名模式，多签名的取消能够实现逐级取消</w:t>
      </w:r>
      <w:r>
        <w:rPr>
          <w:rFonts w:hint="eastAsia" w:ascii="宋体" w:hAnsi="宋体" w:eastAsia="宋体" w:cs="宋体"/>
          <w:color w:val="000000" w:themeColor="text1"/>
          <w:szCs w:val="21"/>
          <w:highlight w:val="none"/>
          <w14:textFill>
            <w14:solidFill>
              <w14:schemeClr w14:val="tx1"/>
            </w14:solidFill>
          </w14:textFill>
        </w:rPr>
        <w:t>。</w:t>
      </w: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10"/>
        <w:rPr>
          <w:rFonts w:hint="eastAsia" w:ascii="宋体" w:hAnsi="宋体" w:cs="宋体"/>
          <w:color w:val="000000" w:themeColor="text1"/>
          <w:szCs w:val="21"/>
          <w:highlight w:val="none"/>
          <w14:textFill>
            <w14:solidFill>
              <w14:schemeClr w14:val="tx1"/>
            </w14:solidFill>
          </w14:textFill>
        </w:rPr>
      </w:pPr>
    </w:p>
    <w:p>
      <w:pPr>
        <w:rPr>
          <w:rFonts w:hint="eastAsia"/>
          <w:highlight w:val="none"/>
        </w:rPr>
      </w:pPr>
    </w:p>
    <w:p>
      <w:pPr>
        <w:pStyle w:val="3"/>
        <w:bidi w:val="0"/>
        <w:rPr>
          <w:highlight w:val="none"/>
        </w:rPr>
      </w:pPr>
      <w:r>
        <w:rPr>
          <w:rFonts w:hint="eastAsia"/>
          <w:highlight w:val="none"/>
        </w:rPr>
        <w:t>汉阴县中医医院信息化建设项目技术要求</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4004"/>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sz w:val="28"/>
                <w:highlight w:val="none"/>
              </w:rPr>
            </w:pPr>
            <w:bookmarkStart w:id="113" w:name="_Toc21628"/>
            <w:r>
              <w:rPr>
                <w:rFonts w:hint="eastAsia" w:ascii="黑体" w:eastAsia="黑体"/>
                <w:sz w:val="28"/>
                <w:highlight w:val="none"/>
              </w:rPr>
              <w:t>序号</w:t>
            </w:r>
          </w:p>
        </w:tc>
        <w:tc>
          <w:tcPr>
            <w:tcW w:w="40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sz w:val="28"/>
                <w:highlight w:val="none"/>
              </w:rPr>
            </w:pPr>
            <w:r>
              <w:rPr>
                <w:rFonts w:hint="eastAsia" w:ascii="黑体" w:eastAsia="黑体"/>
                <w:sz w:val="28"/>
                <w:highlight w:val="none"/>
              </w:rPr>
              <w:t>名称</w:t>
            </w:r>
          </w:p>
        </w:tc>
        <w:tc>
          <w:tcPr>
            <w:tcW w:w="3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sz w:val="28"/>
                <w:highlight w:val="none"/>
              </w:rPr>
            </w:pPr>
            <w:r>
              <w:rPr>
                <w:rFonts w:hint="eastAsia" w:ascii="黑体" w:eastAsia="黑体"/>
                <w:sz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1"/>
                <w:highlight w:val="none"/>
              </w:rPr>
            </w:pPr>
            <w:r>
              <w:rPr>
                <w:sz w:val="21"/>
                <w:highlight w:val="none"/>
              </w:rPr>
              <w:t>一</w:t>
            </w:r>
          </w:p>
        </w:tc>
        <w:tc>
          <w:tcPr>
            <w:tcW w:w="40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1"/>
                <w:highlight w:val="none"/>
              </w:rPr>
            </w:pPr>
            <w:r>
              <w:rPr>
                <w:sz w:val="21"/>
                <w:highlight w:val="none"/>
              </w:rPr>
              <w:t>信息化软件系统</w:t>
            </w:r>
          </w:p>
        </w:tc>
        <w:tc>
          <w:tcPr>
            <w:tcW w:w="3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1"/>
                <w:highlight w:val="none"/>
              </w:rPr>
            </w:pPr>
            <w:r>
              <w:rPr>
                <w:sz w:val="21"/>
                <w:highlight w:val="none"/>
              </w:rPr>
              <w:t>二</w:t>
            </w:r>
          </w:p>
        </w:tc>
        <w:tc>
          <w:tcPr>
            <w:tcW w:w="40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1"/>
                <w:highlight w:val="none"/>
              </w:rPr>
            </w:pPr>
            <w:r>
              <w:rPr>
                <w:sz w:val="21"/>
                <w:highlight w:val="none"/>
              </w:rPr>
              <w:t>数据中心建设</w:t>
            </w:r>
          </w:p>
        </w:tc>
        <w:tc>
          <w:tcPr>
            <w:tcW w:w="3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1"/>
                <w:highlight w:val="none"/>
              </w:rPr>
            </w:pPr>
            <w:r>
              <w:rPr>
                <w:sz w:val="21"/>
                <w:highlight w:val="none"/>
              </w:rPr>
              <w:t>三</w:t>
            </w:r>
          </w:p>
        </w:tc>
        <w:tc>
          <w:tcPr>
            <w:tcW w:w="40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1"/>
                <w:highlight w:val="none"/>
              </w:rPr>
            </w:pPr>
            <w:r>
              <w:rPr>
                <w:sz w:val="21"/>
                <w:highlight w:val="none"/>
              </w:rPr>
              <w:t>信息安全等级保护</w:t>
            </w:r>
          </w:p>
        </w:tc>
        <w:tc>
          <w:tcPr>
            <w:tcW w:w="3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kern w:val="2"/>
                <w:sz w:val="21"/>
                <w:highlight w:val="none"/>
                <w:lang w:val="en-US" w:eastAsia="zh-CN" w:bidi="zh-CN"/>
              </w:rPr>
            </w:pPr>
            <w:r>
              <w:rPr>
                <w:rFonts w:hint="eastAsia" w:cs="宋体"/>
                <w:kern w:val="2"/>
                <w:sz w:val="21"/>
                <w:highlight w:val="none"/>
                <w:lang w:val="en-US" w:eastAsia="zh-CN" w:bidi="zh-CN"/>
              </w:rPr>
              <w:t>四</w:t>
            </w:r>
          </w:p>
        </w:tc>
        <w:tc>
          <w:tcPr>
            <w:tcW w:w="40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kern w:val="2"/>
                <w:sz w:val="21"/>
                <w:highlight w:val="none"/>
                <w:lang w:val="en-US" w:eastAsia="zh-CN" w:bidi="zh-CN"/>
              </w:rPr>
            </w:pPr>
            <w:r>
              <w:rPr>
                <w:rFonts w:hint="eastAsia"/>
                <w:sz w:val="21"/>
                <w:highlight w:val="none"/>
                <w:lang w:val="en-US" w:eastAsia="zh-CN"/>
              </w:rPr>
              <w:t>软件配套硬件</w:t>
            </w:r>
          </w:p>
        </w:tc>
        <w:tc>
          <w:tcPr>
            <w:tcW w:w="3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sz w:val="28"/>
                <w:highlight w:val="none"/>
              </w:rPr>
            </w:pPr>
          </w:p>
        </w:tc>
      </w:tr>
    </w:tbl>
    <w:p>
      <w:pPr>
        <w:pStyle w:val="10"/>
        <w:ind w:left="929"/>
        <w:rPr>
          <w:rFonts w:ascii="等线"/>
          <w:sz w:val="20"/>
          <w:highlight w:val="none"/>
        </w:rPr>
      </w:pPr>
    </w:p>
    <w:p>
      <w:pPr>
        <w:pStyle w:val="10"/>
        <w:rPr>
          <w:rFonts w:ascii="等线"/>
          <w:sz w:val="20"/>
          <w:highlight w:val="none"/>
        </w:rPr>
      </w:pPr>
    </w:p>
    <w:p>
      <w:pPr>
        <w:pStyle w:val="10"/>
        <w:spacing w:before="8"/>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53"/>
        <w:spacing w:before="13"/>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rFonts w:ascii="等线"/>
          <w:sz w:val="24"/>
          <w:highlight w:val="none"/>
        </w:rPr>
      </w:pPr>
    </w:p>
    <w:p>
      <w:pPr>
        <w:pStyle w:val="10"/>
        <w:rPr>
          <w:rFonts w:ascii="等线"/>
          <w:sz w:val="24"/>
          <w:highlight w:val="none"/>
        </w:rPr>
      </w:pPr>
    </w:p>
    <w:p>
      <w:pPr>
        <w:rPr>
          <w:highlight w:val="none"/>
        </w:rPr>
      </w:pPr>
    </w:p>
    <w:p>
      <w:pPr>
        <w:rPr>
          <w:rFonts w:ascii="等线"/>
          <w:sz w:val="24"/>
          <w:highlight w:val="none"/>
        </w:rPr>
      </w:pPr>
    </w:p>
    <w:p>
      <w:pPr>
        <w:pStyle w:val="10"/>
        <w:rPr>
          <w:highlight w:val="none"/>
        </w:rPr>
      </w:pPr>
    </w:p>
    <w:p>
      <w:pPr>
        <w:pStyle w:val="4"/>
        <w:bidi w:val="0"/>
        <w:rPr>
          <w:rFonts w:hint="eastAsia"/>
          <w:highlight w:val="none"/>
        </w:rPr>
      </w:pPr>
      <w:r>
        <w:rPr>
          <w:rFonts w:hint="eastAsia"/>
          <w:highlight w:val="none"/>
        </w:rPr>
        <w:t>1、软件功能清单</w:t>
      </w:r>
    </w:p>
    <w:p>
      <w:pPr>
        <w:pStyle w:val="5"/>
        <w:bidi w:val="0"/>
        <w:rPr>
          <w:rFonts w:hint="eastAsia"/>
          <w:highlight w:val="none"/>
        </w:rPr>
      </w:pPr>
      <w:r>
        <w:rPr>
          <w:rFonts w:hint="eastAsia"/>
          <w:highlight w:val="none"/>
        </w:rPr>
        <mc:AlternateContent>
          <mc:Choice Requires="wps">
            <w:drawing>
              <wp:anchor distT="0" distB="0" distL="114300" distR="114300" simplePos="0" relativeHeight="251665408" behindDoc="0" locked="0" layoutInCell="1" allowOverlap="1">
                <wp:simplePos x="0" y="0"/>
                <wp:positionH relativeFrom="page">
                  <wp:posOffset>457200</wp:posOffset>
                </wp:positionH>
                <wp:positionV relativeFrom="paragraph">
                  <wp:posOffset>438150</wp:posOffset>
                </wp:positionV>
                <wp:extent cx="6649085" cy="6463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49085" cy="6463665"/>
                        </a:xfrm>
                        <a:prstGeom prst="rect">
                          <a:avLst/>
                        </a:prstGeom>
                        <a:noFill/>
                        <a:ln>
                          <a:noFill/>
                        </a:ln>
                      </wps:spPr>
                      <wps:txbx>
                        <w:txbxContent>
                          <w:tbl>
                            <w:tblPr>
                              <w:tblStyle w:val="23"/>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611"/>
                              <w:gridCol w:w="1511"/>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类别</w:t>
                                  </w: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软件系统名称</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主要功能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信息化</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基础</w:t>
                                  </w: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门诊挂号收费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管理系统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提供门诊窗口挂号、退号、挂号维护、患者建档、档案修改、门诊</w:t>
                                  </w:r>
                                  <w:r>
                                    <w:rPr>
                                      <w:rFonts w:hint="eastAsia" w:ascii="宋体" w:hAnsi="宋体" w:eastAsia="宋体" w:cs="宋体"/>
                                      <w:spacing w:val="-11"/>
                                      <w:sz w:val="21"/>
                                      <w:szCs w:val="21"/>
                                    </w:rPr>
                                    <w:t>收费划价、门诊退费、票据补打、门诊日结、门诊日结汇总、取消日结</w:t>
                                  </w:r>
                                  <w:r>
                                    <w:rPr>
                                      <w:rFonts w:hint="eastAsia" w:ascii="宋体" w:hAnsi="宋体" w:eastAsia="宋体" w:cs="宋体"/>
                                      <w:spacing w:val="-12"/>
                                      <w:sz w:val="21"/>
                                      <w:szCs w:val="21"/>
                                    </w:rPr>
                                    <w:t>汇总、门诊挂号查询、门诊挂号统计、门诊费用查询、门诊收退费统计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收费票据管理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门诊、住院收费票据管理、结算管理，收退费统计、对账管理、数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据平衡检验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门诊药房管理系统(含中草药和配药调剂)</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提供门诊药品入库、处方发药、药品增损调价、药品盘存核算等功</w:t>
                                  </w:r>
                                  <w:r>
                                    <w:rPr>
                                      <w:rFonts w:hint="eastAsia" w:ascii="宋体" w:hAnsi="宋体" w:eastAsia="宋体" w:cs="宋体"/>
                                      <w:spacing w:val="-12"/>
                                      <w:sz w:val="21"/>
                                      <w:szCs w:val="21"/>
                                    </w:rPr>
                                    <w:t>能，在药品入库功能上采用多数医院使用的药房申请入库流程兼具部分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医院个性化入库流程，在处方发药上采取一套特有药品取整方式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住院药房管理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系统(含中草药和配药调剂)</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提供住院药品入库、处方发药、药品增损调价、药品盘存核算等功</w:t>
                                  </w:r>
                                  <w:r>
                                    <w:rPr>
                                      <w:rFonts w:hint="eastAsia" w:ascii="宋体" w:hAnsi="宋体" w:eastAsia="宋体" w:cs="宋体"/>
                                      <w:spacing w:val="-12"/>
                                      <w:sz w:val="21"/>
                                      <w:szCs w:val="21"/>
                                    </w:rPr>
                                    <w:t>能，在药品入库功能上采用多数医院使用的药房申请入库流程兼具部分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医院个性化入库流程，在医嘱发药上采取一套特有药品取整方式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药库管理系统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提供药品信息管理、药品采购入库、药品增损调价、药品盘存核算</w:t>
                                  </w:r>
                                  <w:r>
                                    <w:rPr>
                                      <w:rFonts w:hint="eastAsia" w:ascii="宋体" w:hAnsi="宋体" w:eastAsia="宋体" w:cs="宋体"/>
                                      <w:spacing w:val="-12"/>
                                      <w:sz w:val="21"/>
                                      <w:szCs w:val="21"/>
                                    </w:rPr>
                                    <w:t>等功能，在药品出库功能上采用多数医院使用的药房申请入库流程兼具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部分医院个性化入库流程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住院信息管理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出入院管理、住院信息修改、预缴管理、担保管理、住院记账、住</w:t>
                                  </w:r>
                                  <w:r>
                                    <w:rPr>
                                      <w:rFonts w:hint="eastAsia" w:ascii="宋体" w:hAnsi="宋体" w:eastAsia="宋体" w:cs="宋体"/>
                                      <w:spacing w:val="-11"/>
                                      <w:sz w:val="21"/>
                                      <w:szCs w:val="21"/>
                                    </w:rPr>
                                    <w:t>院退费、操作员日结、日结汇总、收据管理、日清单打印、出院收据补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打、自动记账、病区维护、欠费控制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院长查询系统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提供首页概况、门诊查询、住院查询、药房查询、药库查询、物资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查询等功能，为院长提供统一查询管理。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基础服务系统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提供系统操作员管理、菜单管理、权限管理、通用查询配置、通用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统计配置、字典信息配置等功能，为系统提供基础支撑管理服务。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综合查询</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3"/>
                                      <w:sz w:val="21"/>
                                      <w:szCs w:val="21"/>
                                    </w:rPr>
                                    <w:t>完成医疗、护理、药剂、财务、物资等各种业务所产生数据的统计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自定义报表</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用户可根据需求自由设置增加各种报表，实现数据分析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电子</w:t>
                                  </w:r>
                                </w:p>
                                <w:p>
                                  <w:pPr>
                                    <w:pStyle w:val="10"/>
                                    <w:rPr>
                                      <w:rFonts w:hint="eastAsia" w:ascii="宋体" w:hAnsi="宋体" w:eastAsia="宋体" w:cs="宋体"/>
                                      <w:b/>
                                      <w:sz w:val="24"/>
                                      <w:szCs w:val="24"/>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病历</w:t>
                                  </w: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住院病案管理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管理住院病案首页增加、修改，完成病案借阅、病案示踪、门诊住</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院日报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门诊医生工作站（含门诊医生全结构化电子病历）</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提供门诊病历处理、门诊诊断、门诊处方和医疗医嘱（含申请单下达、开具入院证及有关查询统计</w:t>
                                  </w:r>
                                </w:p>
                              </w:tc>
                            </w:tr>
                          </w:tbl>
                          <w:p>
                            <w:pPr>
                              <w:pStyle w:val="10"/>
                            </w:pPr>
                          </w:p>
                        </w:txbxContent>
                      </wps:txbx>
                      <wps:bodyPr lIns="0" tIns="0" rIns="0" bIns="0" upright="1"/>
                    </wps:wsp>
                  </a:graphicData>
                </a:graphic>
              </wp:anchor>
            </w:drawing>
          </mc:Choice>
          <mc:Fallback>
            <w:pict>
              <v:shape id="_x0000_s1026" o:spid="_x0000_s1026" o:spt="202" type="#_x0000_t202" style="position:absolute;left:0pt;margin-left:36pt;margin-top:34.5pt;height:508.95pt;width:523.55pt;mso-position-horizontal-relative:page;z-index:251665408;mso-width-relative:page;mso-height-relative:page;" filled="f" stroked="f" coordsize="21600,21600" o:gfxdata="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GYaNHZAAAACwEAAA8AAAAAAAAAAQAgAAAAIgAAAGRycy9kb3ducmV2LnhtbFBL&#10;AQIUABQAAAAIAIdO4kBVIVtAvAEAAHMDAAAOAAAAAAAAAAEAIAAAACgBAABkcnMvZTJvRG9jLnht&#10;bFBLBQYAAAAABgAGAFkBAABWBQAAAAA=&#10;">
                <v:fill on="f" focussize="0,0"/>
                <v:stroke on="f"/>
                <v:imagedata o:title=""/>
                <o:lock v:ext="edit" aspectratio="f"/>
                <v:textbox inset="0mm,0mm,0mm,0mm">
                  <w:txbxContent>
                    <w:tbl>
                      <w:tblPr>
                        <w:tblStyle w:val="23"/>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611"/>
                        <w:gridCol w:w="1511"/>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类别</w:t>
                            </w: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软件系统名称</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主要功能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信息化</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基础</w:t>
                            </w: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门诊挂号收费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管理系统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提供门诊窗口挂号、退号、挂号维护、患者建档、档案修改、门诊</w:t>
                            </w:r>
                            <w:r>
                              <w:rPr>
                                <w:rFonts w:hint="eastAsia" w:ascii="宋体" w:hAnsi="宋体" w:eastAsia="宋体" w:cs="宋体"/>
                                <w:spacing w:val="-11"/>
                                <w:sz w:val="21"/>
                                <w:szCs w:val="21"/>
                              </w:rPr>
                              <w:t>收费划价、门诊退费、票据补打、门诊日结、门诊日结汇总、取消日结</w:t>
                            </w:r>
                            <w:r>
                              <w:rPr>
                                <w:rFonts w:hint="eastAsia" w:ascii="宋体" w:hAnsi="宋体" w:eastAsia="宋体" w:cs="宋体"/>
                                <w:spacing w:val="-12"/>
                                <w:sz w:val="21"/>
                                <w:szCs w:val="21"/>
                              </w:rPr>
                              <w:t>汇总、门诊挂号查询、门诊挂号统计、门诊费用查询、门诊收退费统计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收费票据管理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门诊、住院收费票据管理、结算管理，收退费统计、对账管理、数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据平衡检验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门诊药房管理系统(含中草药和配药调剂)</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提供门诊药品入库、处方发药、药品增损调价、药品盘存核算等功</w:t>
                            </w:r>
                            <w:r>
                              <w:rPr>
                                <w:rFonts w:hint="eastAsia" w:ascii="宋体" w:hAnsi="宋体" w:eastAsia="宋体" w:cs="宋体"/>
                                <w:spacing w:val="-12"/>
                                <w:sz w:val="21"/>
                                <w:szCs w:val="21"/>
                              </w:rPr>
                              <w:t>能，在药品入库功能上采用多数医院使用的药房申请入库流程兼具部分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医院个性化入库流程，在处方发药上采取一套特有药品取整方式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住院药房管理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系统(含中草药和配药调剂)</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提供住院药品入库、处方发药、药品增损调价、药品盘存核算等功</w:t>
                            </w:r>
                            <w:r>
                              <w:rPr>
                                <w:rFonts w:hint="eastAsia" w:ascii="宋体" w:hAnsi="宋体" w:eastAsia="宋体" w:cs="宋体"/>
                                <w:spacing w:val="-12"/>
                                <w:sz w:val="21"/>
                                <w:szCs w:val="21"/>
                              </w:rPr>
                              <w:t>能，在药品入库功能上采用多数医院使用的药房申请入库流程兼具部分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医院个性化入库流程，在医嘱发药上采取一套特有药品取整方式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药库管理系统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提供药品信息管理、药品采购入库、药品增损调价、药品盘存核算</w:t>
                            </w:r>
                            <w:r>
                              <w:rPr>
                                <w:rFonts w:hint="eastAsia" w:ascii="宋体" w:hAnsi="宋体" w:eastAsia="宋体" w:cs="宋体"/>
                                <w:spacing w:val="-12"/>
                                <w:sz w:val="21"/>
                                <w:szCs w:val="21"/>
                              </w:rPr>
                              <w:t>等功能，在药品出库功能上采用多数医院使用的药房申请入库流程兼具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部分医院个性化入库流程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住院信息管理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出入院管理、住院信息修改、预缴管理、担保管理、住院记账、住</w:t>
                            </w:r>
                            <w:r>
                              <w:rPr>
                                <w:rFonts w:hint="eastAsia" w:ascii="宋体" w:hAnsi="宋体" w:eastAsia="宋体" w:cs="宋体"/>
                                <w:spacing w:val="-11"/>
                                <w:sz w:val="21"/>
                                <w:szCs w:val="21"/>
                              </w:rPr>
                              <w:t>院退费、操作员日结、日结汇总、收据管理、日清单打印、出院收据补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打、自动记账、病区维护、欠费控制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院长查询系统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提供首页概况、门诊查询、住院查询、药房查询、药库查询、物资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查询等功能，为院长提供统一查询管理。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基础服务系统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提供系统操作员管理、菜单管理、权限管理、通用查询配置、通用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统计配置、字典信息配置等功能，为系统提供基础支撑管理服务。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综合查询</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13"/>
                                <w:sz w:val="21"/>
                                <w:szCs w:val="21"/>
                              </w:rPr>
                              <w:t>完成医疗、护理、药剂、财务、物资等各种业务所产生数据的统计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自定义报表</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用户可根据需求自由设置增加各种报表，实现数据分析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电子</w:t>
                            </w:r>
                          </w:p>
                          <w:p>
                            <w:pPr>
                              <w:pStyle w:val="10"/>
                              <w:rPr>
                                <w:rFonts w:hint="eastAsia" w:ascii="宋体" w:hAnsi="宋体" w:eastAsia="宋体" w:cs="宋体"/>
                                <w:b/>
                                <w:sz w:val="24"/>
                                <w:szCs w:val="24"/>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病历</w:t>
                            </w: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住院病案管理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系统</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管理住院病案首页增加、修改，完成病案借阅、病案示踪、门诊住</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院日报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p>
                        </w:tc>
                        <w:tc>
                          <w:tcPr>
                            <w:tcW w:w="6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门诊医生工作站（含门诊医生全结构化电子病历）</w:t>
                            </w:r>
                          </w:p>
                        </w:tc>
                        <w:tc>
                          <w:tcPr>
                            <w:tcW w:w="66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提供门诊病历处理、门诊诊断、门诊处方和医疗医嘱（含申请单下达、开具入院证及有关查询统计</w:t>
                            </w:r>
                          </w:p>
                        </w:tc>
                      </w:tr>
                    </w:tbl>
                    <w:p>
                      <w:pPr>
                        <w:pStyle w:val="10"/>
                      </w:pPr>
                    </w:p>
                  </w:txbxContent>
                </v:textbox>
              </v:shape>
            </w:pict>
          </mc:Fallback>
        </mc:AlternateContent>
      </w:r>
      <w:r>
        <w:rPr>
          <w:rFonts w:hint="eastAsia"/>
          <w:highlight w:val="none"/>
        </w:rPr>
        <w:t>①信息化软件系统</w:t>
      </w: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rPr>
          <w:rFonts w:hint="eastAsia" w:ascii="宋体" w:hAnsi="宋体" w:eastAsia="宋体" w:cs="宋体"/>
          <w:b/>
          <w:sz w:val="24"/>
          <w:szCs w:val="24"/>
          <w:highlight w:val="none"/>
        </w:rPr>
      </w:pPr>
    </w:p>
    <w:p>
      <w:pPr>
        <w:pStyle w:val="10"/>
        <w:spacing w:before="8"/>
        <w:rPr>
          <w:rFonts w:hint="eastAsia" w:ascii="宋体" w:hAnsi="宋体" w:eastAsia="宋体" w:cs="宋体"/>
          <w:b/>
          <w:sz w:val="24"/>
          <w:szCs w:val="24"/>
          <w:highlight w:val="none"/>
        </w:rPr>
      </w:pPr>
    </w:p>
    <w:p>
      <w:pPr>
        <w:pStyle w:val="10"/>
        <w:ind w:right="116"/>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spacing w:after="0"/>
        <w:jc w:val="right"/>
        <w:rPr>
          <w:rFonts w:hint="eastAsia" w:ascii="宋体" w:hAnsi="宋体" w:eastAsia="宋体" w:cs="宋体"/>
          <w:sz w:val="24"/>
          <w:szCs w:val="24"/>
          <w:highlight w:val="none"/>
        </w:rPr>
        <w:sectPr>
          <w:footerReference r:id="rId8" w:type="default"/>
          <w:pgSz w:w="11910" w:h="16840"/>
          <w:pgMar w:top="1644" w:right="1417" w:bottom="1417" w:left="1417" w:header="969" w:footer="754" w:gutter="0"/>
          <w:pgNumType w:fmt="decimal"/>
          <w:cols w:space="720" w:num="1"/>
        </w:sectPr>
      </w:pPr>
    </w:p>
    <w:p>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6432" behindDoc="0" locked="0" layoutInCell="1" allowOverlap="1">
                <wp:simplePos x="0" y="0"/>
                <wp:positionH relativeFrom="page">
                  <wp:posOffset>457200</wp:posOffset>
                </wp:positionH>
                <wp:positionV relativeFrom="page">
                  <wp:posOffset>914400</wp:posOffset>
                </wp:positionV>
                <wp:extent cx="6649085" cy="8802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49085" cy="8802370"/>
                        </a:xfrm>
                        <a:prstGeom prst="rect">
                          <a:avLst/>
                        </a:prstGeom>
                        <a:noFill/>
                        <a:ln>
                          <a:noFill/>
                        </a:ln>
                      </wps:spPr>
                      <wps:txbx>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661"/>
                              <w:gridCol w:w="2355"/>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restart"/>
                                </w:tcPr>
                                <w:p>
                                  <w:pPr>
                                    <w:pStyle w:val="53"/>
                                    <w:rPr>
                                      <w:rFonts w:ascii="Times New Roman"/>
                                      <w:sz w:val="20"/>
                                    </w:rPr>
                                  </w:pPr>
                                </w:p>
                              </w:tc>
                              <w:tc>
                                <w:tcPr>
                                  <w:tcW w:w="661" w:type="dxa"/>
                                  <w:vAlign w:val="center"/>
                                </w:tcPr>
                                <w:p>
                                  <w:pPr>
                                    <w:pStyle w:val="53"/>
                                    <w:spacing w:before="1"/>
                                    <w:ind w:right="5"/>
                                    <w:jc w:val="center"/>
                                    <w:rPr>
                                      <w:sz w:val="21"/>
                                    </w:rPr>
                                  </w:pPr>
                                  <w:r>
                                    <w:rPr>
                                      <w:sz w:val="21"/>
                                    </w:rPr>
                                    <w:t>13</w:t>
                                  </w:r>
                                </w:p>
                              </w:tc>
                              <w:tc>
                                <w:tcPr>
                                  <w:tcW w:w="2355" w:type="dxa"/>
                                  <w:vAlign w:val="center"/>
                                </w:tcPr>
                                <w:p>
                                  <w:pPr>
                                    <w:pStyle w:val="53"/>
                                    <w:spacing w:before="1"/>
                                    <w:jc w:val="center"/>
                                    <w:rPr>
                                      <w:sz w:val="21"/>
                                    </w:rPr>
                                  </w:pPr>
                                  <w:r>
                                    <w:rPr>
                                      <w:sz w:val="21"/>
                                    </w:rPr>
                                    <w:t>门诊护士工作站</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0"/>
                                      <w:sz w:val="21"/>
                                    </w:rPr>
                                    <w:t>门诊患者皮试执行、医嘱单打印、治疗医嘱临床执行确认、门诊联</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网项目划价、门诊护士工作量统计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14</w:t>
                                  </w:r>
                                </w:p>
                              </w:tc>
                              <w:tc>
                                <w:tcPr>
                                  <w:tcW w:w="2355" w:type="dxa"/>
                                  <w:vAlign w:val="center"/>
                                </w:tcPr>
                                <w:p>
                                  <w:pPr>
                                    <w:pStyle w:val="53"/>
                                    <w:spacing w:before="38"/>
                                    <w:jc w:val="center"/>
                                    <w:rPr>
                                      <w:sz w:val="21"/>
                                    </w:rPr>
                                  </w:pPr>
                                  <w:r>
                                    <w:rPr>
                                      <w:sz w:val="21"/>
                                    </w:rPr>
                                    <w:t>住院医生工作站</w:t>
                                  </w:r>
                                </w:p>
                                <w:p>
                                  <w:pPr>
                                    <w:pStyle w:val="53"/>
                                    <w:spacing w:before="38"/>
                                    <w:jc w:val="center"/>
                                    <w:rPr>
                                      <w:sz w:val="21"/>
                                    </w:rPr>
                                  </w:pPr>
                                  <w:r>
                                    <w:rPr>
                                      <w:sz w:val="21"/>
                                    </w:rPr>
                                    <w:t>（含住院医生全结构化电子病历）</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15"/>
                                    </w:rPr>
                                  </w:pPr>
                                </w:p>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4"/>
                                      <w:sz w:val="21"/>
                                    </w:rPr>
                                    <w:t>提供医嘱管理</w:t>
                                  </w:r>
                                  <w:r>
                                    <w:rPr>
                                      <w:sz w:val="21"/>
                                    </w:rPr>
                                    <w:t>（含申请单）</w:t>
                                  </w:r>
                                  <w:r>
                                    <w:rPr>
                                      <w:spacing w:val="-11"/>
                                      <w:sz w:val="21"/>
                                    </w:rPr>
                                    <w:t>、入院记录、病程记录、会诊记录、出</w:t>
                                  </w:r>
                                  <w:r>
                                    <w:rPr>
                                      <w:sz w:val="21"/>
                                    </w:rPr>
                                    <w:t>院记录、手术有关文书增加、修改功能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15</w:t>
                                  </w:r>
                                </w:p>
                              </w:tc>
                              <w:tc>
                                <w:tcPr>
                                  <w:tcW w:w="2355" w:type="dxa"/>
                                  <w:vAlign w:val="center"/>
                                </w:tcPr>
                                <w:p>
                                  <w:pPr>
                                    <w:pStyle w:val="53"/>
                                    <w:spacing w:before="1"/>
                                    <w:jc w:val="center"/>
                                    <w:rPr>
                                      <w:sz w:val="15"/>
                                    </w:rPr>
                                  </w:pPr>
                                </w:p>
                                <w:p>
                                  <w:pPr>
                                    <w:pStyle w:val="53"/>
                                    <w:spacing w:before="1" w:line="278" w:lineRule="auto"/>
                                    <w:ind w:right="19"/>
                                    <w:jc w:val="center"/>
                                    <w:rPr>
                                      <w:sz w:val="21"/>
                                    </w:rPr>
                                  </w:pPr>
                                  <w:r>
                                    <w:rPr>
                                      <w:sz w:val="21"/>
                                    </w:rPr>
                                    <w:t>住院护士工作站（含住院护理全结构化电子病历）</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z w:val="21"/>
                                    </w:rPr>
                                    <w:t>主要实现住院患者医嘱转抄、医嘱召回、医嘱处理、医嘱单打印</w:t>
                                  </w:r>
                                  <w:r>
                                    <w:rPr>
                                      <w:spacing w:val="-10"/>
                                      <w:sz w:val="21"/>
                                    </w:rPr>
                                    <w:t>医嘱临床执行确认、体温单管理、各类护理文书书写管理、各类护理评</w:t>
                                  </w:r>
                                  <w:r>
                                    <w:rPr>
                                      <w:sz w:val="21"/>
                                    </w:rPr>
                                    <w:t>估管理、护士交班管理、床位管理、床位安排、转科转床、住院记账</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住院退费、护理会诊管理、护理计划管理、健康教育管理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restart"/>
                                  <w:vAlign w:val="center"/>
                                </w:tcPr>
                                <w:p>
                                  <w:pPr>
                                    <w:pStyle w:val="5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Microsoft JhengHei" w:eastAsia="Microsoft JhengHei"/>
                                      <w:b/>
                                      <w:sz w:val="21"/>
                                    </w:rPr>
                                  </w:pPr>
                                  <w:r>
                                    <w:rPr>
                                      <w:rFonts w:hint="eastAsia" w:ascii="Microsoft JhengHei" w:eastAsia="Microsoft JhengHei"/>
                                      <w:b/>
                                      <w:sz w:val="21"/>
                                    </w:rPr>
                                    <w:t>一卡通</w:t>
                                  </w:r>
                                </w:p>
                              </w:tc>
                              <w:tc>
                                <w:tcPr>
                                  <w:tcW w:w="661" w:type="dxa"/>
                                  <w:vAlign w:val="center"/>
                                </w:tcPr>
                                <w:p>
                                  <w:pPr>
                                    <w:pStyle w:val="53"/>
                                    <w:spacing w:before="1"/>
                                    <w:jc w:val="center"/>
                                    <w:rPr>
                                      <w:sz w:val="15"/>
                                    </w:rPr>
                                  </w:pPr>
                                </w:p>
                                <w:p>
                                  <w:pPr>
                                    <w:pStyle w:val="53"/>
                                    <w:spacing w:before="1"/>
                                    <w:ind w:right="5"/>
                                    <w:jc w:val="center"/>
                                    <w:rPr>
                                      <w:sz w:val="21"/>
                                    </w:rPr>
                                  </w:pPr>
                                  <w:r>
                                    <w:rPr>
                                      <w:sz w:val="21"/>
                                    </w:rPr>
                                    <w:t>16</w:t>
                                  </w:r>
                                </w:p>
                              </w:tc>
                              <w:tc>
                                <w:tcPr>
                                  <w:tcW w:w="2355" w:type="dxa"/>
                                  <w:vAlign w:val="center"/>
                                </w:tcPr>
                                <w:p>
                                  <w:pPr>
                                    <w:pStyle w:val="53"/>
                                    <w:spacing w:before="38"/>
                                    <w:jc w:val="center"/>
                                    <w:rPr>
                                      <w:sz w:val="21"/>
                                    </w:rPr>
                                  </w:pPr>
                                  <w:r>
                                    <w:rPr>
                                      <w:sz w:val="21"/>
                                    </w:rPr>
                                    <w:t>医技科室报告管理系统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3"/>
                                      <w:sz w:val="21"/>
                                    </w:rPr>
                                    <w:t>主要实现医技医嘱收费、执行。检查检验申请单收费、执行、报告</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会诊管理、医技科室工作量统计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1"/>
                                    <w:jc w:val="center"/>
                                    <w:rPr>
                                      <w:sz w:val="15"/>
                                    </w:rPr>
                                  </w:pPr>
                                </w:p>
                                <w:p>
                                  <w:pPr>
                                    <w:pStyle w:val="53"/>
                                    <w:spacing w:before="1"/>
                                    <w:ind w:right="5"/>
                                    <w:jc w:val="center"/>
                                    <w:rPr>
                                      <w:sz w:val="21"/>
                                    </w:rPr>
                                  </w:pPr>
                                  <w:r>
                                    <w:rPr>
                                      <w:sz w:val="21"/>
                                    </w:rPr>
                                    <w:t>17</w:t>
                                  </w:r>
                                </w:p>
                              </w:tc>
                              <w:tc>
                                <w:tcPr>
                                  <w:tcW w:w="2355" w:type="dxa"/>
                                  <w:vAlign w:val="center"/>
                                </w:tcPr>
                                <w:p>
                                  <w:pPr>
                                    <w:pStyle w:val="53"/>
                                    <w:spacing w:before="38"/>
                                    <w:jc w:val="center"/>
                                    <w:rPr>
                                      <w:sz w:val="21"/>
                                    </w:rPr>
                                  </w:pPr>
                                  <w:r>
                                    <w:rPr>
                                      <w:sz w:val="21"/>
                                    </w:rPr>
                                    <w:t>一卡通个人帐户管理系统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建卡充值、充值、退款、家庭账户管理、住院一卡通圈存及撤销</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各收费处（门诊收费、门诊退费、出院结账等）使用一卡通支付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81"/>
                                    <w:ind w:right="5"/>
                                    <w:jc w:val="center"/>
                                    <w:rPr>
                                      <w:sz w:val="21"/>
                                    </w:rPr>
                                  </w:pPr>
                                  <w:r>
                                    <w:rPr>
                                      <w:sz w:val="21"/>
                                    </w:rPr>
                                    <w:t>18</w:t>
                                  </w:r>
                                </w:p>
                              </w:tc>
                              <w:tc>
                                <w:tcPr>
                                  <w:tcW w:w="2355" w:type="dxa"/>
                                  <w:vAlign w:val="center"/>
                                </w:tcPr>
                                <w:p>
                                  <w:pPr>
                                    <w:pStyle w:val="53"/>
                                    <w:spacing w:before="81"/>
                                    <w:jc w:val="center"/>
                                    <w:rPr>
                                      <w:sz w:val="21"/>
                                    </w:rPr>
                                  </w:pPr>
                                  <w:r>
                                    <w:rPr>
                                      <w:sz w:val="21"/>
                                    </w:rPr>
                                    <w:t>一卡通管理</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医疗卡建（多卡）、医疗卡管理（退卡、挂失、注销、恢复）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3" w:type="dxa"/>
                                  <w:vMerge w:val="restart"/>
                                  <w:vAlign w:val="center"/>
                                </w:tcPr>
                                <w:p>
                                  <w:pPr>
                                    <w:pStyle w:val="53"/>
                                    <w:spacing w:before="1"/>
                                    <w:ind w:left="15"/>
                                    <w:jc w:val="center"/>
                                    <w:rPr>
                                      <w:rFonts w:hint="eastAsia" w:ascii="Microsoft JhengHei" w:eastAsia="Microsoft JhengHei"/>
                                      <w:b/>
                                      <w:sz w:val="21"/>
                                    </w:rPr>
                                  </w:pPr>
                                  <w:r>
                                    <w:rPr>
                                      <w:rFonts w:hint="eastAsia" w:ascii="Microsoft JhengHei" w:eastAsia="Microsoft JhengHei"/>
                                      <w:b/>
                                      <w:sz w:val="21"/>
                                    </w:rPr>
                                    <w:t>医技应用</w:t>
                                  </w:r>
                                </w:p>
                              </w:tc>
                              <w:tc>
                                <w:tcPr>
                                  <w:tcW w:w="661" w:type="dxa"/>
                                  <w:vAlign w:val="center"/>
                                </w:tcPr>
                                <w:p>
                                  <w:pPr>
                                    <w:pStyle w:val="53"/>
                                    <w:ind w:right="5"/>
                                    <w:jc w:val="center"/>
                                    <w:rPr>
                                      <w:sz w:val="21"/>
                                    </w:rPr>
                                  </w:pPr>
                                  <w:r>
                                    <w:rPr>
                                      <w:sz w:val="21"/>
                                    </w:rPr>
                                    <w:t>19</w:t>
                                  </w:r>
                                </w:p>
                              </w:tc>
                              <w:tc>
                                <w:tcPr>
                                  <w:tcW w:w="2355" w:type="dxa"/>
                                  <w:vAlign w:val="center"/>
                                </w:tcPr>
                                <w:p>
                                  <w:pPr>
                                    <w:pStyle w:val="53"/>
                                    <w:spacing w:before="1"/>
                                    <w:jc w:val="center"/>
                                    <w:rPr>
                                      <w:sz w:val="15"/>
                                    </w:rPr>
                                  </w:pPr>
                                </w:p>
                                <w:p>
                                  <w:pPr>
                                    <w:pStyle w:val="53"/>
                                    <w:spacing w:before="1" w:line="278" w:lineRule="auto"/>
                                    <w:ind w:right="3"/>
                                    <w:jc w:val="center"/>
                                    <w:rPr>
                                      <w:sz w:val="21"/>
                                    </w:rPr>
                                  </w:pPr>
                                  <w:r>
                                    <w:rPr>
                                      <w:sz w:val="21"/>
                                    </w:rPr>
                                    <w:t>PACS</w:t>
                                  </w:r>
                                  <w:r>
                                    <w:rPr>
                                      <w:spacing w:val="-31"/>
                                      <w:sz w:val="21"/>
                                    </w:rPr>
                                    <w:t xml:space="preserve"> 系统</w:t>
                                  </w:r>
                                  <w:r>
                                    <w:rPr>
                                      <w:sz w:val="21"/>
                                    </w:rPr>
                                    <w:t>（</w:t>
                                  </w:r>
                                  <w:r>
                                    <w:rPr>
                                      <w:spacing w:val="-4"/>
                                      <w:sz w:val="21"/>
                                    </w:rPr>
                                    <w:t>含放射信</w:t>
                                  </w:r>
                                  <w:r>
                                    <w:rPr>
                                      <w:spacing w:val="-9"/>
                                      <w:sz w:val="21"/>
                                    </w:rPr>
                                    <w:t xml:space="preserve">息管理系统 </w:t>
                                  </w:r>
                                  <w:r>
                                    <w:rPr>
                                      <w:sz w:val="21"/>
                                    </w:rPr>
                                    <w:t>RIS）</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6"/>
                                    <w:jc w:val="both"/>
                                    <w:textAlignment w:val="auto"/>
                                    <w:rPr>
                                      <w:sz w:val="21"/>
                                    </w:rPr>
                                  </w:pPr>
                                  <w:r>
                                    <w:rPr>
                                      <w:sz w:val="21"/>
                                    </w:rPr>
                                    <w:t>全院影像网络中心管理，各类影像工作站影像采集、处理、报告</w:t>
                                  </w:r>
                                  <w:r>
                                    <w:rPr>
                                      <w:spacing w:val="-18"/>
                                      <w:sz w:val="21"/>
                                    </w:rPr>
                                    <w:t xml:space="preserve">实现 </w:t>
                                  </w:r>
                                  <w:r>
                                    <w:rPr>
                                      <w:sz w:val="21"/>
                                    </w:rPr>
                                    <w:t>PACS</w:t>
                                  </w:r>
                                  <w:r>
                                    <w:rPr>
                                      <w:spacing w:val="-36"/>
                                      <w:sz w:val="21"/>
                                    </w:rPr>
                                    <w:t xml:space="preserve"> 与 </w:t>
                                  </w:r>
                                  <w:r>
                                    <w:rPr>
                                      <w:sz w:val="21"/>
                                    </w:rPr>
                                    <w:t>HIS</w:t>
                                  </w:r>
                                  <w:r>
                                    <w:rPr>
                                      <w:spacing w:val="-10"/>
                                      <w:sz w:val="21"/>
                                    </w:rPr>
                                    <w:t xml:space="preserve"> 系统的接口</w:t>
                                  </w:r>
                                  <w:r>
                                    <w:rPr>
                                      <w:sz w:val="21"/>
                                    </w:rPr>
                                    <w:t>（电子申请单，收费、记账），</w:t>
                                  </w:r>
                                  <w:r>
                                    <w:rPr>
                                      <w:spacing w:val="-4"/>
                                      <w:sz w:val="21"/>
                                    </w:rPr>
                                    <w:t>与医生工</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作站（电子病历）的接口系统（电子申请单、电子报告单双向传输）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1003" w:type="dxa"/>
                                  <w:vMerge w:val="continue"/>
                                  <w:tcBorders>
                                    <w:top w:val="nil"/>
                                  </w:tcBorders>
                                  <w:vAlign w:val="center"/>
                                </w:tcPr>
                                <w:p>
                                  <w:pPr>
                                    <w:jc w:val="center"/>
                                    <w:rPr>
                                      <w:sz w:val="2"/>
                                      <w:szCs w:val="2"/>
                                    </w:rPr>
                                  </w:pPr>
                                </w:p>
                              </w:tc>
                              <w:tc>
                                <w:tcPr>
                                  <w:tcW w:w="661" w:type="dxa"/>
                                  <w:vAlign w:val="center"/>
                                </w:tcPr>
                                <w:p>
                                  <w:pPr>
                                    <w:pStyle w:val="53"/>
                                    <w:ind w:right="5"/>
                                    <w:jc w:val="center"/>
                                    <w:rPr>
                                      <w:sz w:val="21"/>
                                    </w:rPr>
                                  </w:pPr>
                                  <w:r>
                                    <w:rPr>
                                      <w:sz w:val="21"/>
                                    </w:rPr>
                                    <w:t>20</w:t>
                                  </w:r>
                                </w:p>
                              </w:tc>
                              <w:tc>
                                <w:tcPr>
                                  <w:tcW w:w="2355" w:type="dxa"/>
                                  <w:vAlign w:val="center"/>
                                </w:tcPr>
                                <w:p>
                                  <w:pPr>
                                    <w:pStyle w:val="53"/>
                                    <w:jc w:val="center"/>
                                    <w:rPr>
                                      <w:sz w:val="21"/>
                                    </w:rPr>
                                  </w:pPr>
                                  <w:r>
                                    <w:rPr>
                                      <w:sz w:val="21"/>
                                    </w:rPr>
                                    <w:t>实验室信息管理系统</w:t>
                                  </w:r>
                                </w:p>
                                <w:p>
                                  <w:pPr>
                                    <w:pStyle w:val="53"/>
                                    <w:spacing w:before="43"/>
                                    <w:ind w:left="14"/>
                                    <w:jc w:val="center"/>
                                    <w:rPr>
                                      <w:sz w:val="21"/>
                                    </w:rPr>
                                  </w:pPr>
                                  <w:r>
                                    <w:rPr>
                                      <w:sz w:val="21"/>
                                    </w:rPr>
                                    <w:t>(LIS)</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全院检验网络中心管理系统</w:t>
                                  </w:r>
                                </w:p>
                                <w:p>
                                  <w:pPr>
                                    <w:pStyle w:val="53"/>
                                    <w:keepNext w:val="0"/>
                                    <w:keepLines w:val="0"/>
                                    <w:pageBreakBefore w:val="0"/>
                                    <w:widowControl w:val="0"/>
                                    <w:kinsoku/>
                                    <w:wordWrap/>
                                    <w:overflowPunct/>
                                    <w:topLinePunct w:val="0"/>
                                    <w:autoSpaceDE/>
                                    <w:autoSpaceDN/>
                                    <w:bidi w:val="0"/>
                                    <w:adjustRightInd/>
                                    <w:snapToGrid/>
                                    <w:spacing w:line="278" w:lineRule="auto"/>
                                    <w:ind w:left="0" w:right="2"/>
                                    <w:jc w:val="both"/>
                                    <w:textAlignment w:val="auto"/>
                                    <w:rPr>
                                      <w:sz w:val="21"/>
                                    </w:rPr>
                                  </w:pPr>
                                  <w:r>
                                    <w:rPr>
                                      <w:spacing w:val="-8"/>
                                      <w:sz w:val="21"/>
                                    </w:rPr>
                                    <w:t>检验申请登记，数据采集，检验报告，检验质控，查询统计。</w:t>
                                  </w:r>
                                  <w:r>
                                    <w:rPr>
                                      <w:sz w:val="21"/>
                                    </w:rPr>
                                    <w:t>（</w:t>
                                  </w:r>
                                  <w:r>
                                    <w:rPr>
                                      <w:spacing w:val="-5"/>
                                      <w:sz w:val="21"/>
                                    </w:rPr>
                                    <w:t>每一台</w:t>
                                  </w:r>
                                  <w:r>
                                    <w:rPr>
                                      <w:spacing w:val="-11"/>
                                      <w:sz w:val="21"/>
                                    </w:rPr>
                                    <w:t>仪器为一设备，细菌、血库、骨髓等检验无论有无仪器，均按一个设备</w:t>
                                  </w:r>
                                  <w:r>
                                    <w:rPr>
                                      <w:sz w:val="21"/>
                                    </w:rPr>
                                    <w:t>计算）</w:t>
                                  </w:r>
                                </w:p>
                                <w:p>
                                  <w:pPr>
                                    <w:pStyle w:val="53"/>
                                    <w:keepNext w:val="0"/>
                                    <w:keepLines w:val="0"/>
                                    <w:pageBreakBefore w:val="0"/>
                                    <w:widowControl w:val="0"/>
                                    <w:kinsoku/>
                                    <w:wordWrap/>
                                    <w:overflowPunct/>
                                    <w:topLinePunct w:val="0"/>
                                    <w:autoSpaceDE/>
                                    <w:autoSpaceDN/>
                                    <w:bidi w:val="0"/>
                                    <w:adjustRightInd/>
                                    <w:snapToGrid/>
                                    <w:spacing w:line="278" w:lineRule="auto"/>
                                    <w:ind w:left="0" w:right="162"/>
                                    <w:jc w:val="both"/>
                                    <w:textAlignment w:val="auto"/>
                                    <w:rPr>
                                      <w:sz w:val="21"/>
                                    </w:rPr>
                                  </w:pPr>
                                  <w:r>
                                    <w:rPr>
                                      <w:sz w:val="21"/>
                                    </w:rPr>
                                    <w:t>LIS</w:t>
                                  </w:r>
                                  <w:r>
                                    <w:rPr>
                                      <w:spacing w:val="-36"/>
                                      <w:sz w:val="21"/>
                                    </w:rPr>
                                    <w:t xml:space="preserve"> 与 </w:t>
                                  </w:r>
                                  <w:r>
                                    <w:rPr>
                                      <w:sz w:val="21"/>
                                    </w:rPr>
                                    <w:t>HIS</w:t>
                                  </w:r>
                                  <w:r>
                                    <w:rPr>
                                      <w:spacing w:val="-11"/>
                                      <w:sz w:val="21"/>
                                    </w:rPr>
                                    <w:t xml:space="preserve"> 系统的接口系统，门诊、住院 </w:t>
                                  </w:r>
                                  <w:r>
                                    <w:rPr>
                                      <w:sz w:val="21"/>
                                    </w:rPr>
                                    <w:t>LIS</w:t>
                                  </w:r>
                                  <w:r>
                                    <w:rPr>
                                      <w:spacing w:val="-9"/>
                                      <w:sz w:val="21"/>
                                    </w:rPr>
                                    <w:t xml:space="preserve"> 电子申请单收费、记账</w:t>
                                  </w:r>
                                  <w:r>
                                    <w:rPr>
                                      <w:sz w:val="21"/>
                                    </w:rPr>
                                    <w:t>LIS</w:t>
                                  </w:r>
                                  <w:r>
                                    <w:rPr>
                                      <w:spacing w:val="-9"/>
                                      <w:sz w:val="21"/>
                                    </w:rPr>
                                    <w:t xml:space="preserve"> 与医生工作站</w:t>
                                  </w:r>
                                  <w:r>
                                    <w:rPr>
                                      <w:sz w:val="21"/>
                                    </w:rPr>
                                    <w:t>（电子病历）</w:t>
                                  </w:r>
                                  <w:r>
                                    <w:rPr>
                                      <w:spacing w:val="-1"/>
                                      <w:sz w:val="21"/>
                                    </w:rPr>
                                    <w:t>的接口系统，门诊、住院电子申请单</w:t>
                                  </w:r>
                                  <w:r>
                                    <w:rPr>
                                      <w:sz w:val="21"/>
                                    </w:rPr>
                                    <w:t>电子报告单双向传输。</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检验标本条码管理系统，门诊、住院标本条码打印。（不包括硬件）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03" w:type="dxa"/>
                                  <w:vMerge w:val="continue"/>
                                  <w:tcBorders>
                                    <w:top w:val="nil"/>
                                  </w:tcBorders>
                                </w:tcPr>
                                <w:p>
                                  <w:pPr>
                                    <w:rPr>
                                      <w:sz w:val="2"/>
                                      <w:szCs w:val="2"/>
                                    </w:rPr>
                                  </w:pPr>
                                </w:p>
                              </w:tc>
                              <w:tc>
                                <w:tcPr>
                                  <w:tcW w:w="661" w:type="dxa"/>
                                  <w:vAlign w:val="center"/>
                                </w:tcPr>
                                <w:p>
                                  <w:pPr>
                                    <w:pStyle w:val="53"/>
                                    <w:spacing w:before="149"/>
                                    <w:ind w:right="5"/>
                                    <w:jc w:val="center"/>
                                    <w:rPr>
                                      <w:sz w:val="21"/>
                                    </w:rPr>
                                  </w:pPr>
                                  <w:r>
                                    <w:rPr>
                                      <w:sz w:val="21"/>
                                    </w:rPr>
                                    <w:t>21</w:t>
                                  </w:r>
                                </w:p>
                              </w:tc>
                              <w:tc>
                                <w:tcPr>
                                  <w:tcW w:w="2355" w:type="dxa"/>
                                  <w:vAlign w:val="center"/>
                                </w:tcPr>
                                <w:p>
                                  <w:pPr>
                                    <w:pStyle w:val="53"/>
                                    <w:spacing w:line="278" w:lineRule="auto"/>
                                    <w:ind w:right="124"/>
                                    <w:jc w:val="center"/>
                                    <w:rPr>
                                      <w:sz w:val="21"/>
                                    </w:rPr>
                                  </w:pPr>
                                  <w:r>
                                    <w:rPr>
                                      <w:sz w:val="21"/>
                                    </w:rPr>
                                    <w:t>输血管理系统(含市中心血站接口费用)</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输血申请及审批管理；血液入库、储存及出库管理；临床输血血型</w:t>
                                  </w:r>
                                  <w:r>
                                    <w:rPr>
                                      <w:spacing w:val="-10"/>
                                      <w:sz w:val="21"/>
                                    </w:rPr>
                                    <w:t>血清学检测管理；输血感染及不良反应监控管理；输血科内部管理等血液采购计划、血液入库、输血申请、血型复查、配血管理、发血出库管</w:t>
                                  </w:r>
                                  <w:r>
                                    <w:rPr>
                                      <w:spacing w:val="-11"/>
                                      <w:sz w:val="21"/>
                                    </w:rPr>
                                    <w:t>理、费用结算管理、血袋回收返血入库、血液报废、库存调价、血液盘</w:t>
                                  </w:r>
                                </w:p>
                                <w:p>
                                  <w:pPr>
                                    <w:pStyle w:val="53"/>
                                    <w:keepNext w:val="0"/>
                                    <w:keepLines w:val="0"/>
                                    <w:pageBreakBefore w:val="0"/>
                                    <w:widowControl w:val="0"/>
                                    <w:kinsoku/>
                                    <w:wordWrap/>
                                    <w:overflowPunct/>
                                    <w:topLinePunct w:val="0"/>
                                    <w:autoSpaceDE/>
                                    <w:autoSpaceDN/>
                                    <w:bidi w:val="0"/>
                                    <w:adjustRightInd/>
                                    <w:snapToGrid/>
                                    <w:spacing w:line="268" w:lineRule="exact"/>
                                    <w:ind w:left="0"/>
                                    <w:jc w:val="both"/>
                                    <w:textAlignment w:val="auto"/>
                                    <w:rPr>
                                      <w:sz w:val="21"/>
                                    </w:rPr>
                                  </w:pPr>
                                  <w:r>
                                    <w:rPr>
                                      <w:sz w:val="21"/>
                                    </w:rPr>
                                    <w:t>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restart"/>
                                  <w:vAlign w:val="center"/>
                                </w:tcPr>
                                <w:p>
                                  <w:pPr>
                                    <w:pStyle w:val="53"/>
                                    <w:ind w:left="15"/>
                                    <w:jc w:val="center"/>
                                    <w:rPr>
                                      <w:rFonts w:hint="eastAsia" w:ascii="Microsoft JhengHei" w:eastAsia="Microsoft JhengHei"/>
                                      <w:b/>
                                      <w:sz w:val="21"/>
                                    </w:rPr>
                                  </w:pPr>
                                  <w:r>
                                    <w:rPr>
                                      <w:rFonts w:hint="eastAsia" w:ascii="Microsoft JhengHei" w:eastAsia="Microsoft JhengHei"/>
                                      <w:b/>
                                      <w:sz w:val="21"/>
                                    </w:rPr>
                                    <w:t>智慧医疗</w:t>
                                  </w:r>
                                </w:p>
                              </w:tc>
                              <w:tc>
                                <w:tcPr>
                                  <w:tcW w:w="661" w:type="dxa"/>
                                  <w:vAlign w:val="center"/>
                                </w:tcPr>
                                <w:p>
                                  <w:pPr>
                                    <w:pStyle w:val="53"/>
                                    <w:spacing w:before="1"/>
                                    <w:ind w:right="5"/>
                                    <w:jc w:val="center"/>
                                    <w:rPr>
                                      <w:sz w:val="21"/>
                                    </w:rPr>
                                  </w:pPr>
                                  <w:r>
                                    <w:rPr>
                                      <w:sz w:val="21"/>
                                    </w:rPr>
                                    <w:t>22</w:t>
                                  </w:r>
                                </w:p>
                              </w:tc>
                              <w:tc>
                                <w:tcPr>
                                  <w:tcW w:w="2355" w:type="dxa"/>
                                  <w:vAlign w:val="center"/>
                                </w:tcPr>
                                <w:p>
                                  <w:pPr>
                                    <w:pStyle w:val="53"/>
                                    <w:spacing w:before="38"/>
                                    <w:jc w:val="center"/>
                                    <w:rPr>
                                      <w:sz w:val="21"/>
                                    </w:rPr>
                                  </w:pPr>
                                  <w:r>
                                    <w:rPr>
                                      <w:sz w:val="21"/>
                                    </w:rPr>
                                    <w:t>门诊医生排队叫号系</w:t>
                                  </w:r>
                                </w:p>
                                <w:p>
                                  <w:pPr>
                                    <w:pStyle w:val="53"/>
                                    <w:spacing w:before="43"/>
                                    <w:ind w:left="14"/>
                                    <w:jc w:val="center"/>
                                    <w:rPr>
                                      <w:sz w:val="21"/>
                                    </w:rPr>
                                  </w:pPr>
                                  <w:r>
                                    <w:rPr>
                                      <w:sz w:val="21"/>
                                    </w:rPr>
                                    <w:t>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由相关科室对医院医生、护士、行政、后勤等人员进行排班。与考</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1"/>
                                    <w:ind w:right="5"/>
                                    <w:jc w:val="center"/>
                                    <w:rPr>
                                      <w:sz w:val="21"/>
                                    </w:rPr>
                                  </w:pPr>
                                  <w:r>
                                    <w:rPr>
                                      <w:sz w:val="21"/>
                                    </w:rPr>
                                    <w:t>23</w:t>
                                  </w:r>
                                </w:p>
                              </w:tc>
                              <w:tc>
                                <w:tcPr>
                                  <w:tcW w:w="2355" w:type="dxa"/>
                                  <w:vAlign w:val="center"/>
                                </w:tcPr>
                                <w:p>
                                  <w:pPr>
                                    <w:pStyle w:val="53"/>
                                    <w:spacing w:before="1"/>
                                    <w:jc w:val="center"/>
                                    <w:rPr>
                                      <w:sz w:val="15"/>
                                    </w:rPr>
                                  </w:pPr>
                                </w:p>
                                <w:p>
                                  <w:pPr>
                                    <w:pStyle w:val="53"/>
                                    <w:spacing w:before="1"/>
                                    <w:jc w:val="center"/>
                                    <w:rPr>
                                      <w:sz w:val="21"/>
                                    </w:rPr>
                                  </w:pPr>
                                  <w:r>
                                    <w:rPr>
                                      <w:sz w:val="21"/>
                                    </w:rPr>
                                    <w:t>预约挂号系统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1"/>
                                      <w:sz w:val="21"/>
                                    </w:rPr>
                                    <w:t>排班管理、排班模板管理、限号设置、诊室设置、预约查询、预约</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登记（支持现场或电话预约）、预约确认、号源维护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149"/>
                                    <w:ind w:right="5"/>
                                    <w:jc w:val="center"/>
                                    <w:rPr>
                                      <w:sz w:val="21"/>
                                    </w:rPr>
                                  </w:pPr>
                                  <w:r>
                                    <w:rPr>
                                      <w:sz w:val="21"/>
                                    </w:rPr>
                                    <w:t>24</w:t>
                                  </w:r>
                                </w:p>
                              </w:tc>
                              <w:tc>
                                <w:tcPr>
                                  <w:tcW w:w="2355" w:type="dxa"/>
                                  <w:vAlign w:val="center"/>
                                </w:tcPr>
                                <w:p>
                                  <w:pPr>
                                    <w:pStyle w:val="53"/>
                                    <w:jc w:val="center"/>
                                    <w:rPr>
                                      <w:sz w:val="21"/>
                                    </w:rPr>
                                  </w:pPr>
                                  <w:r>
                                    <w:rPr>
                                      <w:sz w:val="21"/>
                                    </w:rPr>
                                    <w:t>微信公众平台(基础版)</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提供医院概况、科室介绍、专家介绍、院内新闻、就医指南、来院</w:t>
                                  </w:r>
                                  <w:r>
                                    <w:rPr>
                                      <w:spacing w:val="-16"/>
                                      <w:sz w:val="21"/>
                                    </w:rPr>
                                    <w:t>导航、操作指南、医疗服务价格查询、门诊缴费、预约挂号、智能导诊</w:t>
                                  </w:r>
                                  <w:r>
                                    <w:rPr>
                                      <w:spacing w:val="-15"/>
                                      <w:sz w:val="21"/>
                                    </w:rPr>
                                    <w:t>挂号申请退号、生成条形码、满意度评价、就诊人管理、检查检验报告</w:t>
                                  </w:r>
                                  <w:r>
                                    <w:rPr>
                                      <w:spacing w:val="-11"/>
                                      <w:sz w:val="21"/>
                                    </w:rPr>
                                    <w:t>查询、缴费记录查询、挂号记录查询等功能。</w:t>
                                  </w:r>
                                  <w:r>
                                    <w:rPr>
                                      <w:sz w:val="21"/>
                                    </w:rPr>
                                    <w:t>（</w:t>
                                  </w:r>
                                  <w:r>
                                    <w:rPr>
                                      <w:spacing w:val="-2"/>
                                      <w:sz w:val="21"/>
                                    </w:rPr>
                                    <w:t>含核心数据运营服务平</w:t>
                                  </w:r>
                                </w:p>
                                <w:p>
                                  <w:pPr>
                                    <w:pStyle w:val="53"/>
                                    <w:keepNext w:val="0"/>
                                    <w:keepLines w:val="0"/>
                                    <w:pageBreakBefore w:val="0"/>
                                    <w:widowControl w:val="0"/>
                                    <w:kinsoku/>
                                    <w:wordWrap/>
                                    <w:overflowPunct/>
                                    <w:topLinePunct w:val="0"/>
                                    <w:autoSpaceDE/>
                                    <w:autoSpaceDN/>
                                    <w:bidi w:val="0"/>
                                    <w:adjustRightInd/>
                                    <w:snapToGrid/>
                                    <w:spacing w:line="268" w:lineRule="exact"/>
                                    <w:ind w:left="0"/>
                                    <w:jc w:val="both"/>
                                    <w:textAlignment w:val="auto"/>
                                    <w:rPr>
                                      <w:sz w:val="21"/>
                                    </w:rPr>
                                  </w:pPr>
                                  <w:r>
                                    <w:rPr>
                                      <w:sz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nil"/>
                                  </w:tcBorders>
                                </w:tcPr>
                                <w:p>
                                  <w:pPr>
                                    <w:rPr>
                                      <w:sz w:val="2"/>
                                      <w:szCs w:val="2"/>
                                    </w:rPr>
                                  </w:pPr>
                                </w:p>
                              </w:tc>
                              <w:tc>
                                <w:tcPr>
                                  <w:tcW w:w="661" w:type="dxa"/>
                                  <w:vAlign w:val="center"/>
                                </w:tcPr>
                                <w:p>
                                  <w:pPr>
                                    <w:pStyle w:val="53"/>
                                    <w:spacing w:before="1"/>
                                    <w:ind w:right="5"/>
                                    <w:jc w:val="center"/>
                                    <w:rPr>
                                      <w:sz w:val="21"/>
                                    </w:rPr>
                                  </w:pPr>
                                  <w:r>
                                    <w:rPr>
                                      <w:sz w:val="21"/>
                                    </w:rPr>
                                    <w:t>25</w:t>
                                  </w:r>
                                </w:p>
                              </w:tc>
                              <w:tc>
                                <w:tcPr>
                                  <w:tcW w:w="2355" w:type="dxa"/>
                                  <w:vAlign w:val="center"/>
                                </w:tcPr>
                                <w:p>
                                  <w:pPr>
                                    <w:pStyle w:val="53"/>
                                    <w:spacing w:before="1"/>
                                    <w:jc w:val="center"/>
                                    <w:rPr>
                                      <w:sz w:val="21"/>
                                    </w:rPr>
                                  </w:pPr>
                                  <w:r>
                                    <w:rPr>
                                      <w:sz w:val="21"/>
                                    </w:rPr>
                                    <w:t>个人扫码</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6"/>
                                      <w:sz w:val="21"/>
                                    </w:rPr>
                                    <w:t>提供在病人处方签或者申请单上打印出二维支付码，能够实现病人</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扫码打印出来的二维支付码完成费用支付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nil"/>
                                  </w:tcBorders>
                                </w:tcPr>
                                <w:p>
                                  <w:pPr>
                                    <w:rPr>
                                      <w:sz w:val="2"/>
                                      <w:szCs w:val="2"/>
                                    </w:rPr>
                                  </w:pPr>
                                </w:p>
                              </w:tc>
                              <w:tc>
                                <w:tcPr>
                                  <w:tcW w:w="661" w:type="dxa"/>
                                  <w:vAlign w:val="center"/>
                                </w:tcPr>
                                <w:p>
                                  <w:pPr>
                                    <w:pStyle w:val="53"/>
                                    <w:spacing w:before="1"/>
                                    <w:ind w:right="5"/>
                                    <w:jc w:val="center"/>
                                    <w:rPr>
                                      <w:sz w:val="21"/>
                                    </w:rPr>
                                  </w:pPr>
                                  <w:r>
                                    <w:rPr>
                                      <w:sz w:val="21"/>
                                    </w:rPr>
                                    <w:t>26</w:t>
                                  </w:r>
                                </w:p>
                              </w:tc>
                              <w:tc>
                                <w:tcPr>
                                  <w:tcW w:w="2355" w:type="dxa"/>
                                  <w:vAlign w:val="center"/>
                                </w:tcPr>
                                <w:p>
                                  <w:pPr>
                                    <w:pStyle w:val="53"/>
                                    <w:spacing w:before="1"/>
                                    <w:jc w:val="center"/>
                                    <w:rPr>
                                      <w:sz w:val="21"/>
                                    </w:rPr>
                                  </w:pPr>
                                  <w:r>
                                    <w:rPr>
                                      <w:sz w:val="21"/>
                                    </w:rPr>
                                    <w:t>窗口扫码支付</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7"/>
                                      <w:sz w:val="21"/>
                                    </w:rPr>
                                    <w:t>提供病人生成微信和支付宝支付二维码，收费人员用扫描枪扫码支</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付，同时支持微信与支付宝退费功能</w:t>
                                  </w:r>
                                </w:p>
                              </w:tc>
                            </w:tr>
                          </w:tbl>
                          <w:p>
                            <w:pPr>
                              <w:pStyle w:val="10"/>
                            </w:pPr>
                          </w:p>
                        </w:txbxContent>
                      </wps:txbx>
                      <wps:bodyPr lIns="0" tIns="0" rIns="0" bIns="0" upright="1"/>
                    </wps:wsp>
                  </a:graphicData>
                </a:graphic>
              </wp:anchor>
            </w:drawing>
          </mc:Choice>
          <mc:Fallback>
            <w:pict>
              <v:shape id="_x0000_s1026" o:spid="_x0000_s1026" o:spt="202" type="#_x0000_t202" style="position:absolute;left:0pt;margin-left:36pt;margin-top:72pt;height:693.1pt;width:523.55pt;mso-position-horizontal-relative:page;mso-position-vertical-relative:page;z-index:251666432;mso-width-relative:page;mso-height-relative:page;" filled="f" stroked="f" coordsize="21600,21600" o:gfxdata="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1Oz1NoAAAAMAQAADwAAAAAAAAABACAAAAAiAAAAZHJzL2Rvd25yZXYueG1s&#10;UEsBAhQAFAAAAAgAh07iQCnVy+a9AQAAcwMAAA4AAAAAAAAAAQAgAAAAKQEAAGRycy9lMm9Eb2Mu&#10;eG1sUEsFBgAAAAAGAAYAWQEAAFgFAAAAAA==&#10;">
                <v:fill on="f" focussize="0,0"/>
                <v:stroke on="f"/>
                <v:imagedata o:title=""/>
                <o:lock v:ext="edit" aspectratio="f"/>
                <v:textbox inset="0mm,0mm,0mm,0mm">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661"/>
                        <w:gridCol w:w="2355"/>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restart"/>
                          </w:tcPr>
                          <w:p>
                            <w:pPr>
                              <w:pStyle w:val="53"/>
                              <w:rPr>
                                <w:rFonts w:ascii="Times New Roman"/>
                                <w:sz w:val="20"/>
                              </w:rPr>
                            </w:pPr>
                          </w:p>
                        </w:tc>
                        <w:tc>
                          <w:tcPr>
                            <w:tcW w:w="661" w:type="dxa"/>
                            <w:vAlign w:val="center"/>
                          </w:tcPr>
                          <w:p>
                            <w:pPr>
                              <w:pStyle w:val="53"/>
                              <w:spacing w:before="1"/>
                              <w:ind w:right="5"/>
                              <w:jc w:val="center"/>
                              <w:rPr>
                                <w:sz w:val="21"/>
                              </w:rPr>
                            </w:pPr>
                            <w:r>
                              <w:rPr>
                                <w:sz w:val="21"/>
                              </w:rPr>
                              <w:t>13</w:t>
                            </w:r>
                          </w:p>
                        </w:tc>
                        <w:tc>
                          <w:tcPr>
                            <w:tcW w:w="2355" w:type="dxa"/>
                            <w:vAlign w:val="center"/>
                          </w:tcPr>
                          <w:p>
                            <w:pPr>
                              <w:pStyle w:val="53"/>
                              <w:spacing w:before="1"/>
                              <w:jc w:val="center"/>
                              <w:rPr>
                                <w:sz w:val="21"/>
                              </w:rPr>
                            </w:pPr>
                            <w:r>
                              <w:rPr>
                                <w:sz w:val="21"/>
                              </w:rPr>
                              <w:t>门诊护士工作站</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0"/>
                                <w:sz w:val="21"/>
                              </w:rPr>
                              <w:t>门诊患者皮试执行、医嘱单打印、治疗医嘱临床执行确认、门诊联</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网项目划价、门诊护士工作量统计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14</w:t>
                            </w:r>
                          </w:p>
                        </w:tc>
                        <w:tc>
                          <w:tcPr>
                            <w:tcW w:w="2355" w:type="dxa"/>
                            <w:vAlign w:val="center"/>
                          </w:tcPr>
                          <w:p>
                            <w:pPr>
                              <w:pStyle w:val="53"/>
                              <w:spacing w:before="38"/>
                              <w:jc w:val="center"/>
                              <w:rPr>
                                <w:sz w:val="21"/>
                              </w:rPr>
                            </w:pPr>
                            <w:r>
                              <w:rPr>
                                <w:sz w:val="21"/>
                              </w:rPr>
                              <w:t>住院医生工作站</w:t>
                            </w:r>
                          </w:p>
                          <w:p>
                            <w:pPr>
                              <w:pStyle w:val="53"/>
                              <w:spacing w:before="38"/>
                              <w:jc w:val="center"/>
                              <w:rPr>
                                <w:sz w:val="21"/>
                              </w:rPr>
                            </w:pPr>
                            <w:r>
                              <w:rPr>
                                <w:sz w:val="21"/>
                              </w:rPr>
                              <w:t>（含住院医生全结构化电子病历）</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15"/>
                              </w:rPr>
                            </w:pPr>
                          </w:p>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4"/>
                                <w:sz w:val="21"/>
                              </w:rPr>
                              <w:t>提供医嘱管理</w:t>
                            </w:r>
                            <w:r>
                              <w:rPr>
                                <w:sz w:val="21"/>
                              </w:rPr>
                              <w:t>（含申请单）</w:t>
                            </w:r>
                            <w:r>
                              <w:rPr>
                                <w:spacing w:val="-11"/>
                                <w:sz w:val="21"/>
                              </w:rPr>
                              <w:t>、入院记录、病程记录、会诊记录、出</w:t>
                            </w:r>
                            <w:r>
                              <w:rPr>
                                <w:sz w:val="21"/>
                              </w:rPr>
                              <w:t>院记录、手术有关文书增加、修改功能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15</w:t>
                            </w:r>
                          </w:p>
                        </w:tc>
                        <w:tc>
                          <w:tcPr>
                            <w:tcW w:w="2355" w:type="dxa"/>
                            <w:vAlign w:val="center"/>
                          </w:tcPr>
                          <w:p>
                            <w:pPr>
                              <w:pStyle w:val="53"/>
                              <w:spacing w:before="1"/>
                              <w:jc w:val="center"/>
                              <w:rPr>
                                <w:sz w:val="15"/>
                              </w:rPr>
                            </w:pPr>
                          </w:p>
                          <w:p>
                            <w:pPr>
                              <w:pStyle w:val="53"/>
                              <w:spacing w:before="1" w:line="278" w:lineRule="auto"/>
                              <w:ind w:right="19"/>
                              <w:jc w:val="center"/>
                              <w:rPr>
                                <w:sz w:val="21"/>
                              </w:rPr>
                            </w:pPr>
                            <w:r>
                              <w:rPr>
                                <w:sz w:val="21"/>
                              </w:rPr>
                              <w:t>住院护士工作站（含住院护理全结构化电子病历）</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z w:val="21"/>
                              </w:rPr>
                              <w:t>主要实现住院患者医嘱转抄、医嘱召回、医嘱处理、医嘱单打印</w:t>
                            </w:r>
                            <w:r>
                              <w:rPr>
                                <w:spacing w:val="-10"/>
                                <w:sz w:val="21"/>
                              </w:rPr>
                              <w:t>医嘱临床执行确认、体温单管理、各类护理文书书写管理、各类护理评</w:t>
                            </w:r>
                            <w:r>
                              <w:rPr>
                                <w:sz w:val="21"/>
                              </w:rPr>
                              <w:t>估管理、护士交班管理、床位管理、床位安排、转科转床、住院记账</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住院退费、护理会诊管理、护理计划管理、健康教育管理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restart"/>
                            <w:vAlign w:val="center"/>
                          </w:tcPr>
                          <w:p>
                            <w:pPr>
                              <w:pStyle w:val="5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Microsoft JhengHei" w:eastAsia="Microsoft JhengHei"/>
                                <w:b/>
                                <w:sz w:val="21"/>
                              </w:rPr>
                            </w:pPr>
                            <w:r>
                              <w:rPr>
                                <w:rFonts w:hint="eastAsia" w:ascii="Microsoft JhengHei" w:eastAsia="Microsoft JhengHei"/>
                                <w:b/>
                                <w:sz w:val="21"/>
                              </w:rPr>
                              <w:t>一卡通</w:t>
                            </w:r>
                          </w:p>
                        </w:tc>
                        <w:tc>
                          <w:tcPr>
                            <w:tcW w:w="661" w:type="dxa"/>
                            <w:vAlign w:val="center"/>
                          </w:tcPr>
                          <w:p>
                            <w:pPr>
                              <w:pStyle w:val="53"/>
                              <w:spacing w:before="1"/>
                              <w:jc w:val="center"/>
                              <w:rPr>
                                <w:sz w:val="15"/>
                              </w:rPr>
                            </w:pPr>
                          </w:p>
                          <w:p>
                            <w:pPr>
                              <w:pStyle w:val="53"/>
                              <w:spacing w:before="1"/>
                              <w:ind w:right="5"/>
                              <w:jc w:val="center"/>
                              <w:rPr>
                                <w:sz w:val="21"/>
                              </w:rPr>
                            </w:pPr>
                            <w:r>
                              <w:rPr>
                                <w:sz w:val="21"/>
                              </w:rPr>
                              <w:t>16</w:t>
                            </w:r>
                          </w:p>
                        </w:tc>
                        <w:tc>
                          <w:tcPr>
                            <w:tcW w:w="2355" w:type="dxa"/>
                            <w:vAlign w:val="center"/>
                          </w:tcPr>
                          <w:p>
                            <w:pPr>
                              <w:pStyle w:val="53"/>
                              <w:spacing w:before="38"/>
                              <w:jc w:val="center"/>
                              <w:rPr>
                                <w:sz w:val="21"/>
                              </w:rPr>
                            </w:pPr>
                            <w:r>
                              <w:rPr>
                                <w:sz w:val="21"/>
                              </w:rPr>
                              <w:t>医技科室报告管理系统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3"/>
                                <w:sz w:val="21"/>
                              </w:rPr>
                              <w:t>主要实现医技医嘱收费、执行。检查检验申请单收费、执行、报告</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会诊管理、医技科室工作量统计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1"/>
                              <w:jc w:val="center"/>
                              <w:rPr>
                                <w:sz w:val="15"/>
                              </w:rPr>
                            </w:pPr>
                          </w:p>
                          <w:p>
                            <w:pPr>
                              <w:pStyle w:val="53"/>
                              <w:spacing w:before="1"/>
                              <w:ind w:right="5"/>
                              <w:jc w:val="center"/>
                              <w:rPr>
                                <w:sz w:val="21"/>
                              </w:rPr>
                            </w:pPr>
                            <w:r>
                              <w:rPr>
                                <w:sz w:val="21"/>
                              </w:rPr>
                              <w:t>17</w:t>
                            </w:r>
                          </w:p>
                        </w:tc>
                        <w:tc>
                          <w:tcPr>
                            <w:tcW w:w="2355" w:type="dxa"/>
                            <w:vAlign w:val="center"/>
                          </w:tcPr>
                          <w:p>
                            <w:pPr>
                              <w:pStyle w:val="53"/>
                              <w:spacing w:before="38"/>
                              <w:jc w:val="center"/>
                              <w:rPr>
                                <w:sz w:val="21"/>
                              </w:rPr>
                            </w:pPr>
                            <w:r>
                              <w:rPr>
                                <w:sz w:val="21"/>
                              </w:rPr>
                              <w:t>一卡通个人帐户管理系统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建卡充值、充值、退款、家庭账户管理、住院一卡通圈存及撤销</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各收费处（门诊收费、门诊退费、出院结账等）使用一卡通支付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81"/>
                              <w:ind w:right="5"/>
                              <w:jc w:val="center"/>
                              <w:rPr>
                                <w:sz w:val="21"/>
                              </w:rPr>
                            </w:pPr>
                            <w:r>
                              <w:rPr>
                                <w:sz w:val="21"/>
                              </w:rPr>
                              <w:t>18</w:t>
                            </w:r>
                          </w:p>
                        </w:tc>
                        <w:tc>
                          <w:tcPr>
                            <w:tcW w:w="2355" w:type="dxa"/>
                            <w:vAlign w:val="center"/>
                          </w:tcPr>
                          <w:p>
                            <w:pPr>
                              <w:pStyle w:val="53"/>
                              <w:spacing w:before="81"/>
                              <w:jc w:val="center"/>
                              <w:rPr>
                                <w:sz w:val="21"/>
                              </w:rPr>
                            </w:pPr>
                            <w:r>
                              <w:rPr>
                                <w:sz w:val="21"/>
                              </w:rPr>
                              <w:t>一卡通管理</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医疗卡建（多卡）、医疗卡管理（退卡、挂失、注销、恢复）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3" w:type="dxa"/>
                            <w:vMerge w:val="restart"/>
                            <w:vAlign w:val="center"/>
                          </w:tcPr>
                          <w:p>
                            <w:pPr>
                              <w:pStyle w:val="53"/>
                              <w:spacing w:before="1"/>
                              <w:ind w:left="15"/>
                              <w:jc w:val="center"/>
                              <w:rPr>
                                <w:rFonts w:hint="eastAsia" w:ascii="Microsoft JhengHei" w:eastAsia="Microsoft JhengHei"/>
                                <w:b/>
                                <w:sz w:val="21"/>
                              </w:rPr>
                            </w:pPr>
                            <w:r>
                              <w:rPr>
                                <w:rFonts w:hint="eastAsia" w:ascii="Microsoft JhengHei" w:eastAsia="Microsoft JhengHei"/>
                                <w:b/>
                                <w:sz w:val="21"/>
                              </w:rPr>
                              <w:t>医技应用</w:t>
                            </w:r>
                          </w:p>
                        </w:tc>
                        <w:tc>
                          <w:tcPr>
                            <w:tcW w:w="661" w:type="dxa"/>
                            <w:vAlign w:val="center"/>
                          </w:tcPr>
                          <w:p>
                            <w:pPr>
                              <w:pStyle w:val="53"/>
                              <w:ind w:right="5"/>
                              <w:jc w:val="center"/>
                              <w:rPr>
                                <w:sz w:val="21"/>
                              </w:rPr>
                            </w:pPr>
                            <w:r>
                              <w:rPr>
                                <w:sz w:val="21"/>
                              </w:rPr>
                              <w:t>19</w:t>
                            </w:r>
                          </w:p>
                        </w:tc>
                        <w:tc>
                          <w:tcPr>
                            <w:tcW w:w="2355" w:type="dxa"/>
                            <w:vAlign w:val="center"/>
                          </w:tcPr>
                          <w:p>
                            <w:pPr>
                              <w:pStyle w:val="53"/>
                              <w:spacing w:before="1"/>
                              <w:jc w:val="center"/>
                              <w:rPr>
                                <w:sz w:val="15"/>
                              </w:rPr>
                            </w:pPr>
                          </w:p>
                          <w:p>
                            <w:pPr>
                              <w:pStyle w:val="53"/>
                              <w:spacing w:before="1" w:line="278" w:lineRule="auto"/>
                              <w:ind w:right="3"/>
                              <w:jc w:val="center"/>
                              <w:rPr>
                                <w:sz w:val="21"/>
                              </w:rPr>
                            </w:pPr>
                            <w:r>
                              <w:rPr>
                                <w:sz w:val="21"/>
                              </w:rPr>
                              <w:t>PACS</w:t>
                            </w:r>
                            <w:r>
                              <w:rPr>
                                <w:spacing w:val="-31"/>
                                <w:sz w:val="21"/>
                              </w:rPr>
                              <w:t xml:space="preserve"> 系统</w:t>
                            </w:r>
                            <w:r>
                              <w:rPr>
                                <w:sz w:val="21"/>
                              </w:rPr>
                              <w:t>（</w:t>
                            </w:r>
                            <w:r>
                              <w:rPr>
                                <w:spacing w:val="-4"/>
                                <w:sz w:val="21"/>
                              </w:rPr>
                              <w:t>含放射信</w:t>
                            </w:r>
                            <w:r>
                              <w:rPr>
                                <w:spacing w:val="-9"/>
                                <w:sz w:val="21"/>
                              </w:rPr>
                              <w:t xml:space="preserve">息管理系统 </w:t>
                            </w:r>
                            <w:r>
                              <w:rPr>
                                <w:sz w:val="21"/>
                              </w:rPr>
                              <w:t>RIS）</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6"/>
                              <w:jc w:val="both"/>
                              <w:textAlignment w:val="auto"/>
                              <w:rPr>
                                <w:sz w:val="21"/>
                              </w:rPr>
                            </w:pPr>
                            <w:r>
                              <w:rPr>
                                <w:sz w:val="21"/>
                              </w:rPr>
                              <w:t>全院影像网络中心管理，各类影像工作站影像采集、处理、报告</w:t>
                            </w:r>
                            <w:r>
                              <w:rPr>
                                <w:spacing w:val="-18"/>
                                <w:sz w:val="21"/>
                              </w:rPr>
                              <w:t xml:space="preserve">实现 </w:t>
                            </w:r>
                            <w:r>
                              <w:rPr>
                                <w:sz w:val="21"/>
                              </w:rPr>
                              <w:t>PACS</w:t>
                            </w:r>
                            <w:r>
                              <w:rPr>
                                <w:spacing w:val="-36"/>
                                <w:sz w:val="21"/>
                              </w:rPr>
                              <w:t xml:space="preserve"> 与 </w:t>
                            </w:r>
                            <w:r>
                              <w:rPr>
                                <w:sz w:val="21"/>
                              </w:rPr>
                              <w:t>HIS</w:t>
                            </w:r>
                            <w:r>
                              <w:rPr>
                                <w:spacing w:val="-10"/>
                                <w:sz w:val="21"/>
                              </w:rPr>
                              <w:t xml:space="preserve"> 系统的接口</w:t>
                            </w:r>
                            <w:r>
                              <w:rPr>
                                <w:sz w:val="21"/>
                              </w:rPr>
                              <w:t>（电子申请单，收费、记账），</w:t>
                            </w:r>
                            <w:r>
                              <w:rPr>
                                <w:spacing w:val="-4"/>
                                <w:sz w:val="21"/>
                              </w:rPr>
                              <w:t>与医生工</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作站（电子病历）的接口系统（电子申请单、电子报告单双向传输）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1003" w:type="dxa"/>
                            <w:vMerge w:val="continue"/>
                            <w:tcBorders>
                              <w:top w:val="nil"/>
                            </w:tcBorders>
                            <w:vAlign w:val="center"/>
                          </w:tcPr>
                          <w:p>
                            <w:pPr>
                              <w:jc w:val="center"/>
                              <w:rPr>
                                <w:sz w:val="2"/>
                                <w:szCs w:val="2"/>
                              </w:rPr>
                            </w:pPr>
                          </w:p>
                        </w:tc>
                        <w:tc>
                          <w:tcPr>
                            <w:tcW w:w="661" w:type="dxa"/>
                            <w:vAlign w:val="center"/>
                          </w:tcPr>
                          <w:p>
                            <w:pPr>
                              <w:pStyle w:val="53"/>
                              <w:ind w:right="5"/>
                              <w:jc w:val="center"/>
                              <w:rPr>
                                <w:sz w:val="21"/>
                              </w:rPr>
                            </w:pPr>
                            <w:r>
                              <w:rPr>
                                <w:sz w:val="21"/>
                              </w:rPr>
                              <w:t>20</w:t>
                            </w:r>
                          </w:p>
                        </w:tc>
                        <w:tc>
                          <w:tcPr>
                            <w:tcW w:w="2355" w:type="dxa"/>
                            <w:vAlign w:val="center"/>
                          </w:tcPr>
                          <w:p>
                            <w:pPr>
                              <w:pStyle w:val="53"/>
                              <w:jc w:val="center"/>
                              <w:rPr>
                                <w:sz w:val="21"/>
                              </w:rPr>
                            </w:pPr>
                            <w:r>
                              <w:rPr>
                                <w:sz w:val="21"/>
                              </w:rPr>
                              <w:t>实验室信息管理系统</w:t>
                            </w:r>
                          </w:p>
                          <w:p>
                            <w:pPr>
                              <w:pStyle w:val="53"/>
                              <w:spacing w:before="43"/>
                              <w:ind w:left="14"/>
                              <w:jc w:val="center"/>
                              <w:rPr>
                                <w:sz w:val="21"/>
                              </w:rPr>
                            </w:pPr>
                            <w:r>
                              <w:rPr>
                                <w:sz w:val="21"/>
                              </w:rPr>
                              <w:t>(LIS)</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全院检验网络中心管理系统</w:t>
                            </w:r>
                          </w:p>
                          <w:p>
                            <w:pPr>
                              <w:pStyle w:val="53"/>
                              <w:keepNext w:val="0"/>
                              <w:keepLines w:val="0"/>
                              <w:pageBreakBefore w:val="0"/>
                              <w:widowControl w:val="0"/>
                              <w:kinsoku/>
                              <w:wordWrap/>
                              <w:overflowPunct/>
                              <w:topLinePunct w:val="0"/>
                              <w:autoSpaceDE/>
                              <w:autoSpaceDN/>
                              <w:bidi w:val="0"/>
                              <w:adjustRightInd/>
                              <w:snapToGrid/>
                              <w:spacing w:line="278" w:lineRule="auto"/>
                              <w:ind w:left="0" w:right="2"/>
                              <w:jc w:val="both"/>
                              <w:textAlignment w:val="auto"/>
                              <w:rPr>
                                <w:sz w:val="21"/>
                              </w:rPr>
                            </w:pPr>
                            <w:r>
                              <w:rPr>
                                <w:spacing w:val="-8"/>
                                <w:sz w:val="21"/>
                              </w:rPr>
                              <w:t>检验申请登记，数据采集，检验报告，检验质控，查询统计。</w:t>
                            </w:r>
                            <w:r>
                              <w:rPr>
                                <w:sz w:val="21"/>
                              </w:rPr>
                              <w:t>（</w:t>
                            </w:r>
                            <w:r>
                              <w:rPr>
                                <w:spacing w:val="-5"/>
                                <w:sz w:val="21"/>
                              </w:rPr>
                              <w:t>每一台</w:t>
                            </w:r>
                            <w:r>
                              <w:rPr>
                                <w:spacing w:val="-11"/>
                                <w:sz w:val="21"/>
                              </w:rPr>
                              <w:t>仪器为一设备，细菌、血库、骨髓等检验无论有无仪器，均按一个设备</w:t>
                            </w:r>
                            <w:r>
                              <w:rPr>
                                <w:sz w:val="21"/>
                              </w:rPr>
                              <w:t>计算）</w:t>
                            </w:r>
                          </w:p>
                          <w:p>
                            <w:pPr>
                              <w:pStyle w:val="53"/>
                              <w:keepNext w:val="0"/>
                              <w:keepLines w:val="0"/>
                              <w:pageBreakBefore w:val="0"/>
                              <w:widowControl w:val="0"/>
                              <w:kinsoku/>
                              <w:wordWrap/>
                              <w:overflowPunct/>
                              <w:topLinePunct w:val="0"/>
                              <w:autoSpaceDE/>
                              <w:autoSpaceDN/>
                              <w:bidi w:val="0"/>
                              <w:adjustRightInd/>
                              <w:snapToGrid/>
                              <w:spacing w:line="278" w:lineRule="auto"/>
                              <w:ind w:left="0" w:right="162"/>
                              <w:jc w:val="both"/>
                              <w:textAlignment w:val="auto"/>
                              <w:rPr>
                                <w:sz w:val="21"/>
                              </w:rPr>
                            </w:pPr>
                            <w:r>
                              <w:rPr>
                                <w:sz w:val="21"/>
                              </w:rPr>
                              <w:t>LIS</w:t>
                            </w:r>
                            <w:r>
                              <w:rPr>
                                <w:spacing w:val="-36"/>
                                <w:sz w:val="21"/>
                              </w:rPr>
                              <w:t xml:space="preserve"> 与 </w:t>
                            </w:r>
                            <w:r>
                              <w:rPr>
                                <w:sz w:val="21"/>
                              </w:rPr>
                              <w:t>HIS</w:t>
                            </w:r>
                            <w:r>
                              <w:rPr>
                                <w:spacing w:val="-11"/>
                                <w:sz w:val="21"/>
                              </w:rPr>
                              <w:t xml:space="preserve"> 系统的接口系统，门诊、住院 </w:t>
                            </w:r>
                            <w:r>
                              <w:rPr>
                                <w:sz w:val="21"/>
                              </w:rPr>
                              <w:t>LIS</w:t>
                            </w:r>
                            <w:r>
                              <w:rPr>
                                <w:spacing w:val="-9"/>
                                <w:sz w:val="21"/>
                              </w:rPr>
                              <w:t xml:space="preserve"> 电子申请单收费、记账</w:t>
                            </w:r>
                            <w:r>
                              <w:rPr>
                                <w:sz w:val="21"/>
                              </w:rPr>
                              <w:t>LIS</w:t>
                            </w:r>
                            <w:r>
                              <w:rPr>
                                <w:spacing w:val="-9"/>
                                <w:sz w:val="21"/>
                              </w:rPr>
                              <w:t xml:space="preserve"> 与医生工作站</w:t>
                            </w:r>
                            <w:r>
                              <w:rPr>
                                <w:sz w:val="21"/>
                              </w:rPr>
                              <w:t>（电子病历）</w:t>
                            </w:r>
                            <w:r>
                              <w:rPr>
                                <w:spacing w:val="-1"/>
                                <w:sz w:val="21"/>
                              </w:rPr>
                              <w:t>的接口系统，门诊、住院电子申请单</w:t>
                            </w:r>
                            <w:r>
                              <w:rPr>
                                <w:sz w:val="21"/>
                              </w:rPr>
                              <w:t>电子报告单双向传输。</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检验标本条码管理系统，门诊、住院标本条码打印。（不包括硬件）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03" w:type="dxa"/>
                            <w:vMerge w:val="continue"/>
                            <w:tcBorders>
                              <w:top w:val="nil"/>
                            </w:tcBorders>
                          </w:tcPr>
                          <w:p>
                            <w:pPr>
                              <w:rPr>
                                <w:sz w:val="2"/>
                                <w:szCs w:val="2"/>
                              </w:rPr>
                            </w:pPr>
                          </w:p>
                        </w:tc>
                        <w:tc>
                          <w:tcPr>
                            <w:tcW w:w="661" w:type="dxa"/>
                            <w:vAlign w:val="center"/>
                          </w:tcPr>
                          <w:p>
                            <w:pPr>
                              <w:pStyle w:val="53"/>
                              <w:spacing w:before="149"/>
                              <w:ind w:right="5"/>
                              <w:jc w:val="center"/>
                              <w:rPr>
                                <w:sz w:val="21"/>
                              </w:rPr>
                            </w:pPr>
                            <w:r>
                              <w:rPr>
                                <w:sz w:val="21"/>
                              </w:rPr>
                              <w:t>21</w:t>
                            </w:r>
                          </w:p>
                        </w:tc>
                        <w:tc>
                          <w:tcPr>
                            <w:tcW w:w="2355" w:type="dxa"/>
                            <w:vAlign w:val="center"/>
                          </w:tcPr>
                          <w:p>
                            <w:pPr>
                              <w:pStyle w:val="53"/>
                              <w:spacing w:line="278" w:lineRule="auto"/>
                              <w:ind w:right="124"/>
                              <w:jc w:val="center"/>
                              <w:rPr>
                                <w:sz w:val="21"/>
                              </w:rPr>
                            </w:pPr>
                            <w:r>
                              <w:rPr>
                                <w:sz w:val="21"/>
                              </w:rPr>
                              <w:t>输血管理系统(含市中心血站接口费用)</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输血申请及审批管理；血液入库、储存及出库管理；临床输血血型</w:t>
                            </w:r>
                            <w:r>
                              <w:rPr>
                                <w:spacing w:val="-10"/>
                                <w:sz w:val="21"/>
                              </w:rPr>
                              <w:t>血清学检测管理；输血感染及不良反应监控管理；输血科内部管理等血液采购计划、血液入库、输血申请、血型复查、配血管理、发血出库管</w:t>
                            </w:r>
                            <w:r>
                              <w:rPr>
                                <w:spacing w:val="-11"/>
                                <w:sz w:val="21"/>
                              </w:rPr>
                              <w:t>理、费用结算管理、血袋回收返血入库、血液报废、库存调价、血液盘</w:t>
                            </w:r>
                          </w:p>
                          <w:p>
                            <w:pPr>
                              <w:pStyle w:val="53"/>
                              <w:keepNext w:val="0"/>
                              <w:keepLines w:val="0"/>
                              <w:pageBreakBefore w:val="0"/>
                              <w:widowControl w:val="0"/>
                              <w:kinsoku/>
                              <w:wordWrap/>
                              <w:overflowPunct/>
                              <w:topLinePunct w:val="0"/>
                              <w:autoSpaceDE/>
                              <w:autoSpaceDN/>
                              <w:bidi w:val="0"/>
                              <w:adjustRightInd/>
                              <w:snapToGrid/>
                              <w:spacing w:line="268" w:lineRule="exact"/>
                              <w:ind w:left="0"/>
                              <w:jc w:val="both"/>
                              <w:textAlignment w:val="auto"/>
                              <w:rPr>
                                <w:sz w:val="21"/>
                              </w:rPr>
                            </w:pPr>
                            <w:r>
                              <w:rPr>
                                <w:sz w:val="21"/>
                              </w:rPr>
                              <w:t>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restart"/>
                            <w:vAlign w:val="center"/>
                          </w:tcPr>
                          <w:p>
                            <w:pPr>
                              <w:pStyle w:val="53"/>
                              <w:ind w:left="15"/>
                              <w:jc w:val="center"/>
                              <w:rPr>
                                <w:rFonts w:hint="eastAsia" w:ascii="Microsoft JhengHei" w:eastAsia="Microsoft JhengHei"/>
                                <w:b/>
                                <w:sz w:val="21"/>
                              </w:rPr>
                            </w:pPr>
                            <w:r>
                              <w:rPr>
                                <w:rFonts w:hint="eastAsia" w:ascii="Microsoft JhengHei" w:eastAsia="Microsoft JhengHei"/>
                                <w:b/>
                                <w:sz w:val="21"/>
                              </w:rPr>
                              <w:t>智慧医疗</w:t>
                            </w:r>
                          </w:p>
                        </w:tc>
                        <w:tc>
                          <w:tcPr>
                            <w:tcW w:w="661" w:type="dxa"/>
                            <w:vAlign w:val="center"/>
                          </w:tcPr>
                          <w:p>
                            <w:pPr>
                              <w:pStyle w:val="53"/>
                              <w:spacing w:before="1"/>
                              <w:ind w:right="5"/>
                              <w:jc w:val="center"/>
                              <w:rPr>
                                <w:sz w:val="21"/>
                              </w:rPr>
                            </w:pPr>
                            <w:r>
                              <w:rPr>
                                <w:sz w:val="21"/>
                              </w:rPr>
                              <w:t>22</w:t>
                            </w:r>
                          </w:p>
                        </w:tc>
                        <w:tc>
                          <w:tcPr>
                            <w:tcW w:w="2355" w:type="dxa"/>
                            <w:vAlign w:val="center"/>
                          </w:tcPr>
                          <w:p>
                            <w:pPr>
                              <w:pStyle w:val="53"/>
                              <w:spacing w:before="38"/>
                              <w:jc w:val="center"/>
                              <w:rPr>
                                <w:sz w:val="21"/>
                              </w:rPr>
                            </w:pPr>
                            <w:r>
                              <w:rPr>
                                <w:sz w:val="21"/>
                              </w:rPr>
                              <w:t>门诊医生排队叫号系</w:t>
                            </w:r>
                          </w:p>
                          <w:p>
                            <w:pPr>
                              <w:pStyle w:val="53"/>
                              <w:spacing w:before="43"/>
                              <w:ind w:left="14"/>
                              <w:jc w:val="center"/>
                              <w:rPr>
                                <w:sz w:val="21"/>
                              </w:rPr>
                            </w:pPr>
                            <w:r>
                              <w:rPr>
                                <w:sz w:val="21"/>
                              </w:rPr>
                              <w:t>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由相关科室对医院医生、护士、行政、后勤等人员进行排班。与考</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1"/>
                              <w:ind w:right="5"/>
                              <w:jc w:val="center"/>
                              <w:rPr>
                                <w:sz w:val="21"/>
                              </w:rPr>
                            </w:pPr>
                            <w:r>
                              <w:rPr>
                                <w:sz w:val="21"/>
                              </w:rPr>
                              <w:t>23</w:t>
                            </w:r>
                          </w:p>
                        </w:tc>
                        <w:tc>
                          <w:tcPr>
                            <w:tcW w:w="2355" w:type="dxa"/>
                            <w:vAlign w:val="center"/>
                          </w:tcPr>
                          <w:p>
                            <w:pPr>
                              <w:pStyle w:val="53"/>
                              <w:spacing w:before="1"/>
                              <w:jc w:val="center"/>
                              <w:rPr>
                                <w:sz w:val="15"/>
                              </w:rPr>
                            </w:pPr>
                          </w:p>
                          <w:p>
                            <w:pPr>
                              <w:pStyle w:val="53"/>
                              <w:spacing w:before="1"/>
                              <w:jc w:val="center"/>
                              <w:rPr>
                                <w:sz w:val="21"/>
                              </w:rPr>
                            </w:pPr>
                            <w:r>
                              <w:rPr>
                                <w:sz w:val="21"/>
                              </w:rPr>
                              <w:t>预约挂号系统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1"/>
                                <w:sz w:val="21"/>
                              </w:rPr>
                              <w:t>排班管理、排班模板管理、限号设置、诊室设置、预约查询、预约</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登记（支持现场或电话预约）、预约确认、号源维护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03" w:type="dxa"/>
                            <w:vMerge w:val="continue"/>
                            <w:tcBorders>
                              <w:top w:val="nil"/>
                            </w:tcBorders>
                            <w:vAlign w:val="center"/>
                          </w:tcPr>
                          <w:p>
                            <w:pPr>
                              <w:jc w:val="center"/>
                              <w:rPr>
                                <w:sz w:val="2"/>
                                <w:szCs w:val="2"/>
                              </w:rPr>
                            </w:pPr>
                          </w:p>
                        </w:tc>
                        <w:tc>
                          <w:tcPr>
                            <w:tcW w:w="661" w:type="dxa"/>
                            <w:vAlign w:val="center"/>
                          </w:tcPr>
                          <w:p>
                            <w:pPr>
                              <w:pStyle w:val="53"/>
                              <w:spacing w:before="149"/>
                              <w:ind w:right="5"/>
                              <w:jc w:val="center"/>
                              <w:rPr>
                                <w:sz w:val="21"/>
                              </w:rPr>
                            </w:pPr>
                            <w:r>
                              <w:rPr>
                                <w:sz w:val="21"/>
                              </w:rPr>
                              <w:t>24</w:t>
                            </w:r>
                          </w:p>
                        </w:tc>
                        <w:tc>
                          <w:tcPr>
                            <w:tcW w:w="2355" w:type="dxa"/>
                            <w:vAlign w:val="center"/>
                          </w:tcPr>
                          <w:p>
                            <w:pPr>
                              <w:pStyle w:val="53"/>
                              <w:jc w:val="center"/>
                              <w:rPr>
                                <w:sz w:val="21"/>
                              </w:rPr>
                            </w:pPr>
                            <w:r>
                              <w:rPr>
                                <w:sz w:val="21"/>
                              </w:rPr>
                              <w:t>微信公众平台(基础版)</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提供医院概况、科室介绍、专家介绍、院内新闻、就医指南、来院</w:t>
                            </w:r>
                            <w:r>
                              <w:rPr>
                                <w:spacing w:val="-16"/>
                                <w:sz w:val="21"/>
                              </w:rPr>
                              <w:t>导航、操作指南、医疗服务价格查询、门诊缴费、预约挂号、智能导诊</w:t>
                            </w:r>
                            <w:r>
                              <w:rPr>
                                <w:spacing w:val="-15"/>
                                <w:sz w:val="21"/>
                              </w:rPr>
                              <w:t>挂号申请退号、生成条形码、满意度评价、就诊人管理、检查检验报告</w:t>
                            </w:r>
                            <w:r>
                              <w:rPr>
                                <w:spacing w:val="-11"/>
                                <w:sz w:val="21"/>
                              </w:rPr>
                              <w:t>查询、缴费记录查询、挂号记录查询等功能。</w:t>
                            </w:r>
                            <w:r>
                              <w:rPr>
                                <w:sz w:val="21"/>
                              </w:rPr>
                              <w:t>（</w:t>
                            </w:r>
                            <w:r>
                              <w:rPr>
                                <w:spacing w:val="-2"/>
                                <w:sz w:val="21"/>
                              </w:rPr>
                              <w:t>含核心数据运营服务平</w:t>
                            </w:r>
                          </w:p>
                          <w:p>
                            <w:pPr>
                              <w:pStyle w:val="53"/>
                              <w:keepNext w:val="0"/>
                              <w:keepLines w:val="0"/>
                              <w:pageBreakBefore w:val="0"/>
                              <w:widowControl w:val="0"/>
                              <w:kinsoku/>
                              <w:wordWrap/>
                              <w:overflowPunct/>
                              <w:topLinePunct w:val="0"/>
                              <w:autoSpaceDE/>
                              <w:autoSpaceDN/>
                              <w:bidi w:val="0"/>
                              <w:adjustRightInd/>
                              <w:snapToGrid/>
                              <w:spacing w:line="268" w:lineRule="exact"/>
                              <w:ind w:left="0"/>
                              <w:jc w:val="both"/>
                              <w:textAlignment w:val="auto"/>
                              <w:rPr>
                                <w:sz w:val="21"/>
                              </w:rPr>
                            </w:pPr>
                            <w:r>
                              <w:rPr>
                                <w:sz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nil"/>
                            </w:tcBorders>
                          </w:tcPr>
                          <w:p>
                            <w:pPr>
                              <w:rPr>
                                <w:sz w:val="2"/>
                                <w:szCs w:val="2"/>
                              </w:rPr>
                            </w:pPr>
                          </w:p>
                        </w:tc>
                        <w:tc>
                          <w:tcPr>
                            <w:tcW w:w="661" w:type="dxa"/>
                            <w:vAlign w:val="center"/>
                          </w:tcPr>
                          <w:p>
                            <w:pPr>
                              <w:pStyle w:val="53"/>
                              <w:spacing w:before="1"/>
                              <w:ind w:right="5"/>
                              <w:jc w:val="center"/>
                              <w:rPr>
                                <w:sz w:val="21"/>
                              </w:rPr>
                            </w:pPr>
                            <w:r>
                              <w:rPr>
                                <w:sz w:val="21"/>
                              </w:rPr>
                              <w:t>25</w:t>
                            </w:r>
                          </w:p>
                        </w:tc>
                        <w:tc>
                          <w:tcPr>
                            <w:tcW w:w="2355" w:type="dxa"/>
                            <w:vAlign w:val="center"/>
                          </w:tcPr>
                          <w:p>
                            <w:pPr>
                              <w:pStyle w:val="53"/>
                              <w:spacing w:before="1"/>
                              <w:jc w:val="center"/>
                              <w:rPr>
                                <w:sz w:val="21"/>
                              </w:rPr>
                            </w:pPr>
                            <w:r>
                              <w:rPr>
                                <w:sz w:val="21"/>
                              </w:rPr>
                              <w:t>个人扫码</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6"/>
                                <w:sz w:val="21"/>
                              </w:rPr>
                              <w:t>提供在病人处方签或者申请单上打印出二维支付码，能够实现病人</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扫码打印出来的二维支付码完成费用支付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nil"/>
                            </w:tcBorders>
                          </w:tcPr>
                          <w:p>
                            <w:pPr>
                              <w:rPr>
                                <w:sz w:val="2"/>
                                <w:szCs w:val="2"/>
                              </w:rPr>
                            </w:pPr>
                          </w:p>
                        </w:tc>
                        <w:tc>
                          <w:tcPr>
                            <w:tcW w:w="661" w:type="dxa"/>
                            <w:vAlign w:val="center"/>
                          </w:tcPr>
                          <w:p>
                            <w:pPr>
                              <w:pStyle w:val="53"/>
                              <w:spacing w:before="1"/>
                              <w:ind w:right="5"/>
                              <w:jc w:val="center"/>
                              <w:rPr>
                                <w:sz w:val="21"/>
                              </w:rPr>
                            </w:pPr>
                            <w:r>
                              <w:rPr>
                                <w:sz w:val="21"/>
                              </w:rPr>
                              <w:t>26</w:t>
                            </w:r>
                          </w:p>
                        </w:tc>
                        <w:tc>
                          <w:tcPr>
                            <w:tcW w:w="2355" w:type="dxa"/>
                            <w:vAlign w:val="center"/>
                          </w:tcPr>
                          <w:p>
                            <w:pPr>
                              <w:pStyle w:val="53"/>
                              <w:spacing w:before="1"/>
                              <w:jc w:val="center"/>
                              <w:rPr>
                                <w:sz w:val="21"/>
                              </w:rPr>
                            </w:pPr>
                            <w:r>
                              <w:rPr>
                                <w:sz w:val="21"/>
                              </w:rPr>
                              <w:t>窗口扫码支付</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7"/>
                                <w:sz w:val="21"/>
                              </w:rPr>
                              <w:t>提供病人生成微信和支付宝支付二维码，收费人员用扫描枪扫码支</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付，同时支持微信与支付宝退费功能</w:t>
                            </w:r>
                          </w:p>
                        </w:tc>
                      </w:tr>
                    </w:tbl>
                    <w:p>
                      <w:pPr>
                        <w:pStyle w:val="10"/>
                      </w:pPr>
                    </w:p>
                  </w:txbxContent>
                </v:textbox>
              </v:shape>
            </w:pict>
          </mc:Fallback>
        </mc:AlternateConten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71"/>
        <w:ind w:left="1043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spacing w:before="9"/>
        <w:rPr>
          <w:rFonts w:hint="eastAsia" w:ascii="宋体" w:hAnsi="宋体" w:eastAsia="宋体" w:cs="宋体"/>
          <w:sz w:val="24"/>
          <w:szCs w:val="24"/>
          <w:highlight w:val="none"/>
        </w:rPr>
      </w:pPr>
    </w:p>
    <w:p>
      <w:pPr>
        <w:pStyle w:val="10"/>
        <w:ind w:left="1043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spacing w:before="8"/>
        <w:rPr>
          <w:rFonts w:hint="eastAsia" w:ascii="宋体" w:hAnsi="宋体" w:eastAsia="宋体" w:cs="宋体"/>
          <w:sz w:val="24"/>
          <w:szCs w:val="24"/>
          <w:highlight w:val="none"/>
        </w:rPr>
      </w:pPr>
    </w:p>
    <w:p>
      <w:pPr>
        <w:pStyle w:val="10"/>
        <w:ind w:left="10441"/>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spacing w:before="9"/>
        <w:rPr>
          <w:rFonts w:hint="eastAsia" w:ascii="宋体" w:hAnsi="宋体" w:eastAsia="宋体" w:cs="宋体"/>
          <w:sz w:val="24"/>
          <w:szCs w:val="24"/>
          <w:highlight w:val="none"/>
        </w:rPr>
      </w:pPr>
    </w:p>
    <w:p>
      <w:pPr>
        <w:pStyle w:val="10"/>
        <w:ind w:left="1043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8"/>
        <w:rPr>
          <w:rFonts w:hint="eastAsia" w:ascii="宋体" w:hAnsi="宋体" w:eastAsia="宋体" w:cs="宋体"/>
          <w:sz w:val="24"/>
          <w:szCs w:val="24"/>
          <w:highlight w:val="none"/>
        </w:rPr>
      </w:pPr>
    </w:p>
    <w:p>
      <w:pPr>
        <w:pStyle w:val="10"/>
        <w:ind w:left="1043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147"/>
        <w:ind w:left="1038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spacing w:before="42"/>
        <w:ind w:left="1038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spacing w:after="0"/>
        <w:rPr>
          <w:rFonts w:hint="eastAsia" w:ascii="宋体" w:hAnsi="宋体" w:eastAsia="宋体" w:cs="宋体"/>
          <w:sz w:val="24"/>
          <w:szCs w:val="24"/>
          <w:highlight w:val="none"/>
        </w:rPr>
        <w:sectPr>
          <w:pgSz w:w="11910" w:h="16840"/>
          <w:pgMar w:top="1420" w:right="520" w:bottom="1160" w:left="620" w:header="0" w:footer="895" w:gutter="0"/>
          <w:pgNumType w:fmt="decimal"/>
          <w:cols w:space="720" w:num="1"/>
        </w:sectPr>
      </w:pPr>
    </w:p>
    <w:p>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7456" behindDoc="0" locked="0" layoutInCell="1" allowOverlap="1">
                <wp:simplePos x="0" y="0"/>
                <wp:positionH relativeFrom="page">
                  <wp:posOffset>457200</wp:posOffset>
                </wp:positionH>
                <wp:positionV relativeFrom="page">
                  <wp:posOffset>914400</wp:posOffset>
                </wp:positionV>
                <wp:extent cx="6621145" cy="902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21145" cy="9021445"/>
                        </a:xfrm>
                        <a:prstGeom prst="rect">
                          <a:avLst/>
                        </a:prstGeom>
                        <a:noFill/>
                        <a:ln>
                          <a:noFill/>
                        </a:ln>
                      </wps:spPr>
                      <wps:txbx>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653"/>
                              <w:gridCol w:w="2328"/>
                              <w:gridCol w:w="6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91" w:type="dxa"/>
                                </w:tcPr>
                                <w:p>
                                  <w:pPr>
                                    <w:pStyle w:val="53"/>
                                    <w:rPr>
                                      <w:rFonts w:ascii="Times New Roman"/>
                                      <w:sz w:val="20"/>
                                    </w:rPr>
                                  </w:pPr>
                                </w:p>
                              </w:tc>
                              <w:tc>
                                <w:tcPr>
                                  <w:tcW w:w="653" w:type="dxa"/>
                                  <w:vAlign w:val="center"/>
                                </w:tcPr>
                                <w:p>
                                  <w:pPr>
                                    <w:pStyle w:val="53"/>
                                    <w:spacing w:before="81"/>
                                    <w:ind w:right="5"/>
                                    <w:jc w:val="center"/>
                                    <w:rPr>
                                      <w:sz w:val="21"/>
                                    </w:rPr>
                                  </w:pPr>
                                  <w:r>
                                    <w:rPr>
                                      <w:sz w:val="21"/>
                                    </w:rPr>
                                    <w:t>27</w:t>
                                  </w:r>
                                </w:p>
                              </w:tc>
                              <w:tc>
                                <w:tcPr>
                                  <w:tcW w:w="2328" w:type="dxa"/>
                                  <w:vAlign w:val="center"/>
                                </w:tcPr>
                                <w:p>
                                  <w:pPr>
                                    <w:pStyle w:val="53"/>
                                    <w:spacing w:before="81"/>
                                    <w:jc w:val="center"/>
                                    <w:rPr>
                                      <w:sz w:val="21"/>
                                    </w:rPr>
                                  </w:pPr>
                                  <w:r>
                                    <w:rPr>
                                      <w:sz w:val="21"/>
                                    </w:rPr>
                                    <w:t>财务数据对账平台</w:t>
                                  </w:r>
                                </w:p>
                              </w:tc>
                              <w:tc>
                                <w:tcPr>
                                  <w:tcW w:w="6365"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支付交易对账管理平台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91" w:type="dxa"/>
                                  <w:vMerge w:val="restart"/>
                                  <w:vAlign w:val="center"/>
                                </w:tcPr>
                                <w:p>
                                  <w:pPr>
                                    <w:pStyle w:val="53"/>
                                    <w:keepNext w:val="0"/>
                                    <w:keepLines w:val="0"/>
                                    <w:pageBreakBefore w:val="0"/>
                                    <w:widowControl w:val="0"/>
                                    <w:kinsoku/>
                                    <w:wordWrap/>
                                    <w:overflowPunct/>
                                    <w:topLinePunct w:val="0"/>
                                    <w:autoSpaceDE/>
                                    <w:autoSpaceDN/>
                                    <w:bidi w:val="0"/>
                                    <w:adjustRightInd/>
                                    <w:snapToGrid/>
                                    <w:jc w:val="center"/>
                                    <w:textAlignment w:val="auto"/>
                                    <w:rPr>
                                      <w:rFonts w:hint="eastAsia" w:ascii="Microsoft JhengHei" w:eastAsia="Microsoft JhengHei"/>
                                      <w:b/>
                                      <w:sz w:val="21"/>
                                    </w:rPr>
                                  </w:pPr>
                                  <w:r>
                                    <w:rPr>
                                      <w:rFonts w:hint="eastAsia" w:ascii="Microsoft JhengHei" w:eastAsia="Microsoft JhengHei"/>
                                      <w:b/>
                                      <w:sz w:val="21"/>
                                    </w:rPr>
                                    <w:t>临床诊疗</w:t>
                                  </w:r>
                                </w:p>
                              </w:tc>
                              <w:tc>
                                <w:tcPr>
                                  <w:tcW w:w="653" w:type="dxa"/>
                                  <w:vAlign w:val="center"/>
                                </w:tcPr>
                                <w:p>
                                  <w:pPr>
                                    <w:pStyle w:val="53"/>
                                    <w:spacing w:before="1"/>
                                    <w:jc w:val="center"/>
                                    <w:rPr>
                                      <w:sz w:val="15"/>
                                    </w:rPr>
                                  </w:pPr>
                                </w:p>
                                <w:p>
                                  <w:pPr>
                                    <w:pStyle w:val="53"/>
                                    <w:spacing w:before="1"/>
                                    <w:ind w:right="5"/>
                                    <w:jc w:val="center"/>
                                    <w:rPr>
                                      <w:sz w:val="21"/>
                                    </w:rPr>
                                  </w:pPr>
                                  <w:r>
                                    <w:rPr>
                                      <w:sz w:val="21"/>
                                    </w:rPr>
                                    <w:t>28</w:t>
                                  </w:r>
                                </w:p>
                              </w:tc>
                              <w:tc>
                                <w:tcPr>
                                  <w:tcW w:w="2328" w:type="dxa"/>
                                  <w:vAlign w:val="center"/>
                                </w:tcPr>
                                <w:p>
                                  <w:pPr>
                                    <w:pStyle w:val="53"/>
                                    <w:spacing w:before="38"/>
                                    <w:jc w:val="center"/>
                                    <w:rPr>
                                      <w:sz w:val="21"/>
                                    </w:rPr>
                                  </w:pPr>
                                  <w:r>
                                    <w:rPr>
                                      <w:sz w:val="21"/>
                                    </w:rPr>
                                    <w:t>住院医生电子病历质</w:t>
                                  </w:r>
                                </w:p>
                                <w:p>
                                  <w:pPr>
                                    <w:pStyle w:val="53"/>
                                    <w:spacing w:before="43"/>
                                    <w:ind w:left="14"/>
                                    <w:jc w:val="center"/>
                                    <w:rPr>
                                      <w:sz w:val="21"/>
                                    </w:rPr>
                                  </w:pPr>
                                  <w:r>
                                    <w:rPr>
                                      <w:sz w:val="21"/>
                                    </w:rPr>
                                    <w:t>量监控系统</w:t>
                                  </w:r>
                                </w:p>
                              </w:tc>
                              <w:tc>
                                <w:tcPr>
                                  <w:tcW w:w="6365"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8"/>
                                      <w:sz w:val="21"/>
                                    </w:rPr>
                                    <w:t>提供住院医生病历质量评分管理，提供自动的时限监控和内涵逻辑</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监控进行辅助评分。完成病程记录雷同分析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991" w:type="dxa"/>
                                  <w:vMerge w:val="continue"/>
                                  <w:tcBorders>
                                    <w:top w:val="nil"/>
                                  </w:tcBorders>
                                  <w:vAlign w:val="center"/>
                                </w:tcPr>
                                <w:p>
                                  <w:pPr>
                                    <w:jc w:val="center"/>
                                    <w:rPr>
                                      <w:sz w:val="2"/>
                                      <w:szCs w:val="2"/>
                                    </w:rPr>
                                  </w:pPr>
                                </w:p>
                              </w:tc>
                              <w:tc>
                                <w:tcPr>
                                  <w:tcW w:w="653" w:type="dxa"/>
                                  <w:vAlign w:val="center"/>
                                </w:tcPr>
                                <w:p>
                                  <w:pPr>
                                    <w:pStyle w:val="53"/>
                                    <w:ind w:right="5"/>
                                    <w:jc w:val="center"/>
                                    <w:rPr>
                                      <w:sz w:val="21"/>
                                    </w:rPr>
                                  </w:pPr>
                                  <w:r>
                                    <w:rPr>
                                      <w:sz w:val="21"/>
                                    </w:rPr>
                                    <w:t>29</w:t>
                                  </w:r>
                                </w:p>
                              </w:tc>
                              <w:tc>
                                <w:tcPr>
                                  <w:tcW w:w="2328" w:type="dxa"/>
                                  <w:vAlign w:val="center"/>
                                </w:tcPr>
                                <w:p>
                                  <w:pPr>
                                    <w:pStyle w:val="53"/>
                                    <w:spacing w:before="1"/>
                                    <w:jc w:val="center"/>
                                    <w:rPr>
                                      <w:sz w:val="21"/>
                                    </w:rPr>
                                  </w:pPr>
                                  <w:r>
                                    <w:rPr>
                                      <w:sz w:val="21"/>
                                    </w:rPr>
                                    <w:t>合理用药智能监管系统</w:t>
                                  </w:r>
                                </w:p>
                              </w:tc>
                              <w:tc>
                                <w:tcPr>
                                  <w:tcW w:w="6365"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11"/>
                                      <w:sz w:val="21"/>
                                    </w:rPr>
                                    <w:t>药物剂量、禁忌症、配伍禁忌、特殊职业、特殊治疗用药审查，门</w:t>
                                  </w:r>
                                  <w:r>
                                    <w:rPr>
                                      <w:spacing w:val="-10"/>
                                      <w:sz w:val="21"/>
                                    </w:rPr>
                                    <w:t>诊处方、住院医嘱审查。合理用药监测指标、监测结果统计分析、查询</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中心、简要提示、说明书自维护。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91" w:type="dxa"/>
                                  <w:vMerge w:val="continue"/>
                                  <w:tcBorders>
                                    <w:top w:val="nil"/>
                                    <w:bottom w:val="single" w:color="auto" w:sz="4" w:space="0"/>
                                  </w:tcBorders>
                                  <w:vAlign w:val="center"/>
                                </w:tcPr>
                                <w:p>
                                  <w:pPr>
                                    <w:jc w:val="center"/>
                                    <w:rPr>
                                      <w:sz w:val="2"/>
                                      <w:szCs w:val="2"/>
                                    </w:rPr>
                                  </w:pPr>
                                </w:p>
                              </w:tc>
                              <w:tc>
                                <w:tcPr>
                                  <w:tcW w:w="653" w:type="dxa"/>
                                  <w:tcBorders>
                                    <w:bottom w:val="single" w:color="auto" w:sz="4" w:space="0"/>
                                  </w:tcBorders>
                                  <w:vAlign w:val="center"/>
                                </w:tcPr>
                                <w:p>
                                  <w:pPr>
                                    <w:pStyle w:val="53"/>
                                    <w:spacing w:before="1"/>
                                    <w:ind w:right="5"/>
                                    <w:jc w:val="center"/>
                                    <w:rPr>
                                      <w:sz w:val="21"/>
                                    </w:rPr>
                                  </w:pPr>
                                  <w:r>
                                    <w:rPr>
                                      <w:sz w:val="21"/>
                                    </w:rPr>
                                    <w:t>30</w:t>
                                  </w:r>
                                </w:p>
                              </w:tc>
                              <w:tc>
                                <w:tcPr>
                                  <w:tcW w:w="2328" w:type="dxa"/>
                                  <w:tcBorders>
                                    <w:bottom w:val="single" w:color="auto" w:sz="4" w:space="0"/>
                                  </w:tcBorders>
                                  <w:vAlign w:val="center"/>
                                </w:tcPr>
                                <w:p>
                                  <w:pPr>
                                    <w:pStyle w:val="53"/>
                                    <w:spacing w:before="38"/>
                                    <w:jc w:val="center"/>
                                    <w:rPr>
                                      <w:sz w:val="21"/>
                                    </w:rPr>
                                  </w:pPr>
                                  <w:r>
                                    <w:rPr>
                                      <w:sz w:val="21"/>
                                    </w:rPr>
                                    <w:t>手术麻醉信息管理系统</w:t>
                                  </w:r>
                                </w:p>
                              </w:tc>
                              <w:tc>
                                <w:tcPr>
                                  <w:tcW w:w="6365" w:type="dxa"/>
                                  <w:tcBorders>
                                    <w:bottom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主要实现手术申请、手术安排、器械管理。手术知情同意书、术前</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访视、麻醉知情同意书、手术记录等相关文书书写管理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991" w:type="dxa"/>
                                  <w:vMerge w:val="restart"/>
                                  <w:tcBorders>
                                    <w:top w:val="single" w:color="auto" w:sz="4" w:space="0"/>
                                    <w:left w:val="single" w:color="auto" w:sz="4" w:space="0"/>
                                    <w:bottom w:val="single" w:color="auto" w:sz="4" w:space="0"/>
                                    <w:right w:val="single" w:color="auto" w:sz="4" w:space="0"/>
                                  </w:tcBorders>
                                  <w:vAlign w:val="center"/>
                                </w:tcPr>
                                <w:p>
                                  <w:pPr>
                                    <w:pStyle w:val="53"/>
                                    <w:ind w:left="15"/>
                                    <w:jc w:val="center"/>
                                    <w:rPr>
                                      <w:rFonts w:hint="eastAsia" w:ascii="Microsoft JhengHei" w:eastAsia="Microsoft JhengHei"/>
                                      <w:b/>
                                      <w:sz w:val="21"/>
                                    </w:rPr>
                                  </w:pPr>
                                  <w:r>
                                    <w:rPr>
                                      <w:rFonts w:hint="eastAsia" w:ascii="Microsoft JhengHei" w:eastAsia="Microsoft JhengHei"/>
                                      <w:b/>
                                      <w:sz w:val="21"/>
                                    </w:rPr>
                                    <w:t>其他模块</w:t>
                                  </w: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49"/>
                                    <w:ind w:right="5"/>
                                    <w:jc w:val="center"/>
                                    <w:rPr>
                                      <w:sz w:val="21"/>
                                    </w:rPr>
                                  </w:pPr>
                                  <w:r>
                                    <w:rPr>
                                      <w:sz w:val="21"/>
                                    </w:rPr>
                                    <w:t>31</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49"/>
                                    <w:jc w:val="center"/>
                                    <w:rPr>
                                      <w:sz w:val="21"/>
                                    </w:rPr>
                                  </w:pPr>
                                  <w:r>
                                    <w:rPr>
                                      <w:sz w:val="21"/>
                                    </w:rPr>
                                    <w:t>总务物资管理系统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5"/>
                                      <w:sz w:val="21"/>
                                    </w:rPr>
                                    <w:t>本系统是以医院总务物资库物品进销存为核心的管理系统，主要涉</w:t>
                                  </w:r>
                                  <w:r>
                                    <w:rPr>
                                      <w:spacing w:val="-10"/>
                                      <w:sz w:val="21"/>
                                    </w:rPr>
                                    <w:t>及物资信息管理、采购入库、增损调价、盘存核算、发票管理以及条码</w:t>
                                  </w:r>
                                  <w:r>
                                    <w:rPr>
                                      <w:spacing w:val="-11"/>
                                      <w:sz w:val="21"/>
                                    </w:rPr>
                                    <w:t>管理等功能。本系统优化后勤物资管理流程，对医院物资从采购到出入</w:t>
                                  </w:r>
                                  <w:r>
                                    <w:rPr>
                                      <w:spacing w:val="-8"/>
                                      <w:sz w:val="21"/>
                                    </w:rPr>
                                    <w:t>库再到财务核算等流程全方位监控，使得每一个环节得到跟踪从而有据</w:t>
                                  </w:r>
                                </w:p>
                                <w:p>
                                  <w:pPr>
                                    <w:pStyle w:val="53"/>
                                    <w:keepNext w:val="0"/>
                                    <w:keepLines w:val="0"/>
                                    <w:pageBreakBefore w:val="0"/>
                                    <w:widowControl w:val="0"/>
                                    <w:kinsoku/>
                                    <w:wordWrap/>
                                    <w:overflowPunct/>
                                    <w:topLinePunct w:val="0"/>
                                    <w:autoSpaceDE/>
                                    <w:autoSpaceDN/>
                                    <w:bidi w:val="0"/>
                                    <w:adjustRightInd/>
                                    <w:snapToGrid/>
                                    <w:spacing w:line="268" w:lineRule="exact"/>
                                    <w:ind w:left="0"/>
                                    <w:jc w:val="both"/>
                                    <w:textAlignment w:val="auto"/>
                                    <w:rPr>
                                      <w:sz w:val="21"/>
                                    </w:rPr>
                                  </w:pPr>
                                  <w:r>
                                    <w:rPr>
                                      <w:sz w:val="21"/>
                                    </w:rPr>
                                    <w:t>可查，让物资物品得到有效的管理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32</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94" w:line="278" w:lineRule="auto"/>
                                    <w:ind w:right="19"/>
                                    <w:jc w:val="center"/>
                                    <w:rPr>
                                      <w:rFonts w:ascii="Times New Roman" w:eastAsia="Times New Roman"/>
                                      <w:sz w:val="21"/>
                                    </w:rPr>
                                  </w:pPr>
                                  <w:r>
                                    <w:rPr>
                                      <w:sz w:val="21"/>
                                    </w:rPr>
                                    <w:t>医院感染和疾病上报系统</w:t>
                                  </w:r>
                                  <w:r>
                                    <w:rPr>
                                      <w:rFonts w:ascii="Times New Roman" w:eastAsia="Times New Roman"/>
                                      <w:sz w:val="21"/>
                                    </w:rPr>
                                    <w:t>(</w:t>
                                  </w:r>
                                  <w:r>
                                    <w:rPr>
                                      <w:sz w:val="21"/>
                                    </w:rPr>
                                    <w:t>含流感监测接口</w:t>
                                  </w:r>
                                  <w:r>
                                    <w:rPr>
                                      <w:rFonts w:ascii="Times New Roman" w:eastAsia="Times New Roman"/>
                                      <w:sz w:val="21"/>
                                    </w:rPr>
                                    <w:t>)</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7"/>
                                      <w:sz w:val="21"/>
                                    </w:rPr>
                                    <w:t>加强医院感染的预防和控制，消除医院感染的危险因素，并根据监</w:t>
                                  </w:r>
                                  <w:r>
                                    <w:rPr>
                                      <w:spacing w:val="-6"/>
                                      <w:sz w:val="21"/>
                                    </w:rPr>
                                    <w:t>测过程中发现的问题提出相应的具体措施，以减少医院感染的发生，保</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护医院环境中特殊人群的健康。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33</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line="278" w:lineRule="auto"/>
                                    <w:ind w:right="19"/>
                                    <w:jc w:val="center"/>
                                    <w:rPr>
                                      <w:sz w:val="21"/>
                                    </w:rPr>
                                  </w:pPr>
                                  <w:r>
                                    <w:rPr>
                                      <w:sz w:val="21"/>
                                    </w:rPr>
                                    <w:t>设备管理系统（基础版）</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8"/>
                                      <w:sz w:val="21"/>
                                    </w:rPr>
                                    <w:t>设备相关基础字典数据维护、采购计划、库存档案管理、采购票据</w:t>
                                  </w:r>
                                  <w:r>
                                    <w:rPr>
                                      <w:spacing w:val="-11"/>
                                      <w:sz w:val="21"/>
                                    </w:rPr>
                                    <w:t>管理、设备出入库管理、科室领用、设备盘点、折旧及报损管理、计量</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设备检验、维修登记及相关查询统计等。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34</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医院办公管理系统</w:t>
                                  </w:r>
                                </w:p>
                                <w:p>
                                  <w:pPr>
                                    <w:pStyle w:val="53"/>
                                    <w:spacing w:before="43"/>
                                    <w:ind w:left="14"/>
                                    <w:jc w:val="center"/>
                                    <w:rPr>
                                      <w:sz w:val="21"/>
                                    </w:rPr>
                                  </w:pPr>
                                  <w:r>
                                    <w:rPr>
                                      <w:sz w:val="21"/>
                                    </w:rPr>
                                    <w:t>（HOA 基础版）</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医院内部网上办公：医院信息，公文发布、回复，电子邮件管理</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信息查阅。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35</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jc w:val="center"/>
                                    <w:rPr>
                                      <w:sz w:val="21"/>
                                    </w:rPr>
                                  </w:pPr>
                                  <w:r>
                                    <w:rPr>
                                      <w:sz w:val="21"/>
                                    </w:rPr>
                                    <w:t>抗菌药物应用监控系统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11"/>
                                      <w:sz w:val="21"/>
                                    </w:rPr>
                                    <w:t>按国家卫计委的规定，对处方、医嘱抗菌素的使用进行实时动态监测，实时动态记录，查询、统计、分析、报表，包含事前监控和事后分</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36</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jc w:val="center"/>
                                    <w:rPr>
                                      <w:sz w:val="21"/>
                                    </w:rPr>
                                  </w:pPr>
                                  <w:r>
                                    <w:rPr>
                                      <w:sz w:val="21"/>
                                    </w:rPr>
                                    <w:t>处方及医嘱点评系统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8"/>
                                      <w:sz w:val="21"/>
                                    </w:rPr>
                                    <w:t>按国家卫计委的规定，对处方、医嘱进行动态审查、评价，事后点</w:t>
                                  </w:r>
                                  <w:r>
                                    <w:rPr>
                                      <w:spacing w:val="-11"/>
                                      <w:sz w:val="21"/>
                                    </w:rPr>
                                    <w:t>评，查询、统计、分析、报表。普通点评及专项点评、点评结果申述及</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37</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81"/>
                                    <w:jc w:val="center"/>
                                    <w:rPr>
                                      <w:sz w:val="21"/>
                                    </w:rPr>
                                  </w:pPr>
                                  <w:r>
                                    <w:rPr>
                                      <w:sz w:val="21"/>
                                    </w:rPr>
                                    <w:t>危急值管理系统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提供危急报告、危急阅读、查询统计等功能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38</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jc w:val="center"/>
                                    <w:rPr>
                                      <w:sz w:val="21"/>
                                    </w:rPr>
                                  </w:pPr>
                                  <w:r>
                                    <w:rPr>
                                      <w:sz w:val="21"/>
                                    </w:rPr>
                                    <w:t>中药调剂系统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主要包括收方、审方、领方、调剂、复核、发药、工作量统计等功</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能，并可与排队管理系统连接，实现信息共享，优化操作流程；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39</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jc w:val="center"/>
                                    <w:rPr>
                                      <w:sz w:val="21"/>
                                    </w:rPr>
                                  </w:pPr>
                                  <w:r>
                                    <w:rPr>
                                      <w:sz w:val="21"/>
                                    </w:rPr>
                                    <w:t>中药煎药系统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jc w:val="both"/>
                                    <w:textAlignment w:val="auto"/>
                                    <w:rPr>
                                      <w:sz w:val="21"/>
                                    </w:rPr>
                                  </w:pPr>
                                  <w:r>
                                    <w:rPr>
                                      <w:sz w:val="21"/>
                                    </w:rPr>
                                    <w:t>主要包括收方(住院处方与门诊处方),泡药，煎药，装袋，复核，</w:t>
                                  </w:r>
                                </w:p>
                                <w:p>
                                  <w:pPr>
                                    <w:pStyle w:val="53"/>
                                    <w:keepNext w:val="0"/>
                                    <w:keepLines w:val="0"/>
                                    <w:pageBreakBefore w:val="0"/>
                                    <w:widowControl w:val="0"/>
                                    <w:kinsoku/>
                                    <w:wordWrap/>
                                    <w:overflowPunct/>
                                    <w:topLinePunct w:val="0"/>
                                    <w:autoSpaceDE/>
                                    <w:autoSpaceDN/>
                                    <w:bidi w:val="0"/>
                                    <w:adjustRightInd/>
                                    <w:snapToGrid/>
                                    <w:spacing w:line="310" w:lineRule="atLeast"/>
                                    <w:ind w:left="0" w:right="2"/>
                                    <w:jc w:val="both"/>
                                    <w:textAlignment w:val="auto"/>
                                    <w:rPr>
                                      <w:sz w:val="21"/>
                                    </w:rPr>
                                  </w:pPr>
                                  <w:r>
                                    <w:rPr>
                                      <w:spacing w:val="-12"/>
                                      <w:sz w:val="21"/>
                                    </w:rPr>
                                    <w:t>发药，统计报表等功能。并与微信公众号系统关联，实现数据的及时提</w:t>
                                  </w:r>
                                  <w:r>
                                    <w:rPr>
                                      <w:sz w:val="21"/>
                                    </w:rPr>
                                    <w:t>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40</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腕带识别安全保障系统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 xml:space="preserve">病人条码或 </w:t>
                                  </w:r>
                                  <w:r>
                                    <w:rPr>
                                      <w:sz w:val="21"/>
                                    </w:rPr>
                                    <w:t>RFID</w:t>
                                  </w:r>
                                  <w:r>
                                    <w:rPr>
                                      <w:spacing w:val="-9"/>
                                      <w:sz w:val="21"/>
                                    </w:rPr>
                                    <w:t xml:space="preserve"> 腕带识别，检查、检验、输液、输血条码，病人</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条码腕带生成、打印、现场审核，差错报警(不包括硬件)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41</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rFonts w:ascii="Calibri" w:eastAsia="Calibri"/>
                                      <w:sz w:val="21"/>
                                    </w:rPr>
                                  </w:pPr>
                                  <w:r>
                                    <w:rPr>
                                      <w:sz w:val="21"/>
                                    </w:rPr>
                                    <w:t>反统方系统</w:t>
                                  </w:r>
                                  <w:r>
                                    <w:rPr>
                                      <w:rFonts w:ascii="Calibri" w:eastAsia="Calibri"/>
                                      <w:sz w:val="21"/>
                                    </w:rPr>
                                    <w:t>(</w:t>
                                  </w:r>
                                  <w:r>
                                    <w:rPr>
                                      <w:sz w:val="21"/>
                                    </w:rPr>
                                    <w:t>含硬件</w:t>
                                  </w:r>
                                  <w:r>
                                    <w:rPr>
                                      <w:rFonts w:ascii="Calibri" w:eastAsia="Calibri"/>
                                      <w:sz w:val="21"/>
                                    </w:rPr>
                                    <w:t>)</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满足医院对反统方的需求和对信息安全等级保护的需求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42</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jc w:val="center"/>
                                    <w:rPr>
                                      <w:sz w:val="21"/>
                                    </w:rPr>
                                  </w:pPr>
                                  <w:r>
                                    <w:rPr>
                                      <w:sz w:val="21"/>
                                    </w:rPr>
                                    <w:t>临床路径管理</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jc w:val="both"/>
                                    <w:textAlignment w:val="auto"/>
                                    <w:rPr>
                                      <w:sz w:val="21"/>
                                    </w:rPr>
                                  </w:pPr>
                                  <w:r>
                                    <w:rPr>
                                      <w:spacing w:val="-8"/>
                                      <w:sz w:val="21"/>
                                    </w:rPr>
                                    <w:t>主要实现路径标准维护、医嘱项目对照、路径执行、路径变更、路</w:t>
                                  </w:r>
                                </w:p>
                                <w:p>
                                  <w:pPr>
                                    <w:pStyle w:val="53"/>
                                    <w:keepNext w:val="0"/>
                                    <w:keepLines w:val="0"/>
                                    <w:pageBreakBefore w:val="0"/>
                                    <w:widowControl w:val="0"/>
                                    <w:kinsoku/>
                                    <w:wordWrap/>
                                    <w:overflowPunct/>
                                    <w:topLinePunct w:val="0"/>
                                    <w:autoSpaceDE/>
                                    <w:autoSpaceDN/>
                                    <w:bidi w:val="0"/>
                                    <w:adjustRightInd/>
                                    <w:snapToGrid/>
                                    <w:spacing w:line="310" w:lineRule="atLeast"/>
                                    <w:ind w:left="0" w:right="2"/>
                                    <w:jc w:val="both"/>
                                    <w:textAlignment w:val="auto"/>
                                    <w:rPr>
                                      <w:sz w:val="21"/>
                                    </w:rPr>
                                  </w:pPr>
                                  <w:r>
                                    <w:rPr>
                                      <w:spacing w:val="-11"/>
                                      <w:sz w:val="21"/>
                                    </w:rPr>
                                    <w:t>径延期、路径中转、路径退出、路径变异管理、路径外项目管理、路径</w:t>
                                  </w:r>
                                  <w:r>
                                    <w:rPr>
                                      <w:sz w:val="21"/>
                                    </w:rPr>
                                    <w:t>使用分析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43</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81"/>
                                    <w:jc w:val="center"/>
                                    <w:rPr>
                                      <w:sz w:val="21"/>
                                    </w:rPr>
                                  </w:pPr>
                                  <w:r>
                                    <w:rPr>
                                      <w:sz w:val="21"/>
                                    </w:rPr>
                                    <w:t>产科及新生儿管理</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hint="default" w:ascii="Times New Roman" w:eastAsia="宋体"/>
                                      <w:sz w:val="20"/>
                                      <w:highlight w:val="yellow"/>
                                      <w:lang w:val="en-US" w:eastAsia="zh-CN"/>
                                    </w:rPr>
                                  </w:pPr>
                                  <w:r>
                                    <w:rPr>
                                      <w:rFonts w:hint="eastAsia" w:ascii="Times New Roman"/>
                                      <w:sz w:val="20"/>
                                      <w:highlight w:val="yellow"/>
                                      <w:lang w:val="en-US" w:eastAsia="zh-CN"/>
                                    </w:rPr>
                                    <w:t>产科及新生儿电子病历系统，同床医嘱计费等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44</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预防接种信息管理系统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hint="default" w:ascii="Times New Roman" w:eastAsia="宋体"/>
                                      <w:sz w:val="20"/>
                                      <w:highlight w:val="yellow"/>
                                      <w:lang w:val="en-US" w:eastAsia="zh-CN"/>
                                    </w:rPr>
                                  </w:pPr>
                                  <w:r>
                                    <w:rPr>
                                      <w:rFonts w:hint="eastAsia" w:ascii="Times New Roman"/>
                                      <w:sz w:val="20"/>
                                      <w:highlight w:val="yellow"/>
                                      <w:lang w:val="en-US" w:eastAsia="zh-CN"/>
                                    </w:rPr>
                                    <w:t>预防接种登记、记录、统计、查询</w:t>
                                  </w:r>
                                </w:p>
                              </w:tc>
                            </w:tr>
                          </w:tbl>
                          <w:p>
                            <w:pPr>
                              <w:pStyle w:val="10"/>
                            </w:pPr>
                          </w:p>
                        </w:txbxContent>
                      </wps:txbx>
                      <wps:bodyPr lIns="0" tIns="0" rIns="0" bIns="0" upright="1"/>
                    </wps:wsp>
                  </a:graphicData>
                </a:graphic>
              </wp:anchor>
            </w:drawing>
          </mc:Choice>
          <mc:Fallback>
            <w:pict>
              <v:shape id="_x0000_s1026" o:spid="_x0000_s1026" o:spt="202" type="#_x0000_t202" style="position:absolute;left:0pt;margin-left:36pt;margin-top:72pt;height:710.35pt;width:521.35pt;mso-position-horizontal-relative:page;mso-position-vertical-relative:page;z-index:251667456;mso-width-relative:page;mso-height-relative:page;" filled="f" stroked="f" coordsize="21600,21600" o:gfxdata="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EwNN2QAAAAwBAAAPAAAAAAAAAAEAIAAAACIAAABkcnMvZG93bnJldi54bWxQSwEC&#10;FAAUAAAACACHTuJAGTcRU7oBAABzAwAADgAAAAAAAAABACAAAAAoAQAAZHJzL2Uyb0RvYy54bWxQ&#10;SwUGAAAAAAYABgBZAQAAVAUAAAAA&#10;">
                <v:fill on="f" focussize="0,0"/>
                <v:stroke on="f"/>
                <v:imagedata o:title=""/>
                <o:lock v:ext="edit" aspectratio="f"/>
                <v:textbox inset="0mm,0mm,0mm,0mm">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653"/>
                        <w:gridCol w:w="2328"/>
                        <w:gridCol w:w="6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91" w:type="dxa"/>
                          </w:tcPr>
                          <w:p>
                            <w:pPr>
                              <w:pStyle w:val="53"/>
                              <w:rPr>
                                <w:rFonts w:ascii="Times New Roman"/>
                                <w:sz w:val="20"/>
                              </w:rPr>
                            </w:pPr>
                          </w:p>
                        </w:tc>
                        <w:tc>
                          <w:tcPr>
                            <w:tcW w:w="653" w:type="dxa"/>
                            <w:vAlign w:val="center"/>
                          </w:tcPr>
                          <w:p>
                            <w:pPr>
                              <w:pStyle w:val="53"/>
                              <w:spacing w:before="81"/>
                              <w:ind w:right="5"/>
                              <w:jc w:val="center"/>
                              <w:rPr>
                                <w:sz w:val="21"/>
                              </w:rPr>
                            </w:pPr>
                            <w:r>
                              <w:rPr>
                                <w:sz w:val="21"/>
                              </w:rPr>
                              <w:t>27</w:t>
                            </w:r>
                          </w:p>
                        </w:tc>
                        <w:tc>
                          <w:tcPr>
                            <w:tcW w:w="2328" w:type="dxa"/>
                            <w:vAlign w:val="center"/>
                          </w:tcPr>
                          <w:p>
                            <w:pPr>
                              <w:pStyle w:val="53"/>
                              <w:spacing w:before="81"/>
                              <w:jc w:val="center"/>
                              <w:rPr>
                                <w:sz w:val="21"/>
                              </w:rPr>
                            </w:pPr>
                            <w:r>
                              <w:rPr>
                                <w:sz w:val="21"/>
                              </w:rPr>
                              <w:t>财务数据对账平台</w:t>
                            </w:r>
                          </w:p>
                        </w:tc>
                        <w:tc>
                          <w:tcPr>
                            <w:tcW w:w="6365"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支付交易对账管理平台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91" w:type="dxa"/>
                            <w:vMerge w:val="restart"/>
                            <w:vAlign w:val="center"/>
                          </w:tcPr>
                          <w:p>
                            <w:pPr>
                              <w:pStyle w:val="53"/>
                              <w:keepNext w:val="0"/>
                              <w:keepLines w:val="0"/>
                              <w:pageBreakBefore w:val="0"/>
                              <w:widowControl w:val="0"/>
                              <w:kinsoku/>
                              <w:wordWrap/>
                              <w:overflowPunct/>
                              <w:topLinePunct w:val="0"/>
                              <w:autoSpaceDE/>
                              <w:autoSpaceDN/>
                              <w:bidi w:val="0"/>
                              <w:adjustRightInd/>
                              <w:snapToGrid/>
                              <w:jc w:val="center"/>
                              <w:textAlignment w:val="auto"/>
                              <w:rPr>
                                <w:rFonts w:hint="eastAsia" w:ascii="Microsoft JhengHei" w:eastAsia="Microsoft JhengHei"/>
                                <w:b/>
                                <w:sz w:val="21"/>
                              </w:rPr>
                            </w:pPr>
                            <w:r>
                              <w:rPr>
                                <w:rFonts w:hint="eastAsia" w:ascii="Microsoft JhengHei" w:eastAsia="Microsoft JhengHei"/>
                                <w:b/>
                                <w:sz w:val="21"/>
                              </w:rPr>
                              <w:t>临床诊疗</w:t>
                            </w:r>
                          </w:p>
                        </w:tc>
                        <w:tc>
                          <w:tcPr>
                            <w:tcW w:w="653" w:type="dxa"/>
                            <w:vAlign w:val="center"/>
                          </w:tcPr>
                          <w:p>
                            <w:pPr>
                              <w:pStyle w:val="53"/>
                              <w:spacing w:before="1"/>
                              <w:jc w:val="center"/>
                              <w:rPr>
                                <w:sz w:val="15"/>
                              </w:rPr>
                            </w:pPr>
                          </w:p>
                          <w:p>
                            <w:pPr>
                              <w:pStyle w:val="53"/>
                              <w:spacing w:before="1"/>
                              <w:ind w:right="5"/>
                              <w:jc w:val="center"/>
                              <w:rPr>
                                <w:sz w:val="21"/>
                              </w:rPr>
                            </w:pPr>
                            <w:r>
                              <w:rPr>
                                <w:sz w:val="21"/>
                              </w:rPr>
                              <w:t>28</w:t>
                            </w:r>
                          </w:p>
                        </w:tc>
                        <w:tc>
                          <w:tcPr>
                            <w:tcW w:w="2328" w:type="dxa"/>
                            <w:vAlign w:val="center"/>
                          </w:tcPr>
                          <w:p>
                            <w:pPr>
                              <w:pStyle w:val="53"/>
                              <w:spacing w:before="38"/>
                              <w:jc w:val="center"/>
                              <w:rPr>
                                <w:sz w:val="21"/>
                              </w:rPr>
                            </w:pPr>
                            <w:r>
                              <w:rPr>
                                <w:sz w:val="21"/>
                              </w:rPr>
                              <w:t>住院医生电子病历质</w:t>
                            </w:r>
                          </w:p>
                          <w:p>
                            <w:pPr>
                              <w:pStyle w:val="53"/>
                              <w:spacing w:before="43"/>
                              <w:ind w:left="14"/>
                              <w:jc w:val="center"/>
                              <w:rPr>
                                <w:sz w:val="21"/>
                              </w:rPr>
                            </w:pPr>
                            <w:r>
                              <w:rPr>
                                <w:sz w:val="21"/>
                              </w:rPr>
                              <w:t>量监控系统</w:t>
                            </w:r>
                          </w:p>
                        </w:tc>
                        <w:tc>
                          <w:tcPr>
                            <w:tcW w:w="6365"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8"/>
                                <w:sz w:val="21"/>
                              </w:rPr>
                              <w:t>提供住院医生病历质量评分管理，提供自动的时限监控和内涵逻辑</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监控进行辅助评分。完成病程记录雷同分析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991" w:type="dxa"/>
                            <w:vMerge w:val="continue"/>
                            <w:tcBorders>
                              <w:top w:val="nil"/>
                            </w:tcBorders>
                            <w:vAlign w:val="center"/>
                          </w:tcPr>
                          <w:p>
                            <w:pPr>
                              <w:jc w:val="center"/>
                              <w:rPr>
                                <w:sz w:val="2"/>
                                <w:szCs w:val="2"/>
                              </w:rPr>
                            </w:pPr>
                          </w:p>
                        </w:tc>
                        <w:tc>
                          <w:tcPr>
                            <w:tcW w:w="653" w:type="dxa"/>
                            <w:vAlign w:val="center"/>
                          </w:tcPr>
                          <w:p>
                            <w:pPr>
                              <w:pStyle w:val="53"/>
                              <w:ind w:right="5"/>
                              <w:jc w:val="center"/>
                              <w:rPr>
                                <w:sz w:val="21"/>
                              </w:rPr>
                            </w:pPr>
                            <w:r>
                              <w:rPr>
                                <w:sz w:val="21"/>
                              </w:rPr>
                              <w:t>29</w:t>
                            </w:r>
                          </w:p>
                        </w:tc>
                        <w:tc>
                          <w:tcPr>
                            <w:tcW w:w="2328" w:type="dxa"/>
                            <w:vAlign w:val="center"/>
                          </w:tcPr>
                          <w:p>
                            <w:pPr>
                              <w:pStyle w:val="53"/>
                              <w:spacing w:before="1"/>
                              <w:jc w:val="center"/>
                              <w:rPr>
                                <w:sz w:val="21"/>
                              </w:rPr>
                            </w:pPr>
                            <w:r>
                              <w:rPr>
                                <w:sz w:val="21"/>
                              </w:rPr>
                              <w:t>合理用药智能监管系统</w:t>
                            </w:r>
                          </w:p>
                        </w:tc>
                        <w:tc>
                          <w:tcPr>
                            <w:tcW w:w="6365"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11"/>
                                <w:sz w:val="21"/>
                              </w:rPr>
                              <w:t>药物剂量、禁忌症、配伍禁忌、特殊职业、特殊治疗用药审查，门</w:t>
                            </w:r>
                            <w:r>
                              <w:rPr>
                                <w:spacing w:val="-10"/>
                                <w:sz w:val="21"/>
                              </w:rPr>
                              <w:t>诊处方、住院医嘱审查。合理用药监测指标、监测结果统计分析、查询</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中心、简要提示、说明书自维护。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91" w:type="dxa"/>
                            <w:vMerge w:val="continue"/>
                            <w:tcBorders>
                              <w:top w:val="nil"/>
                              <w:bottom w:val="single" w:color="auto" w:sz="4" w:space="0"/>
                            </w:tcBorders>
                            <w:vAlign w:val="center"/>
                          </w:tcPr>
                          <w:p>
                            <w:pPr>
                              <w:jc w:val="center"/>
                              <w:rPr>
                                <w:sz w:val="2"/>
                                <w:szCs w:val="2"/>
                              </w:rPr>
                            </w:pPr>
                          </w:p>
                        </w:tc>
                        <w:tc>
                          <w:tcPr>
                            <w:tcW w:w="653" w:type="dxa"/>
                            <w:tcBorders>
                              <w:bottom w:val="single" w:color="auto" w:sz="4" w:space="0"/>
                            </w:tcBorders>
                            <w:vAlign w:val="center"/>
                          </w:tcPr>
                          <w:p>
                            <w:pPr>
                              <w:pStyle w:val="53"/>
                              <w:spacing w:before="1"/>
                              <w:ind w:right="5"/>
                              <w:jc w:val="center"/>
                              <w:rPr>
                                <w:sz w:val="21"/>
                              </w:rPr>
                            </w:pPr>
                            <w:r>
                              <w:rPr>
                                <w:sz w:val="21"/>
                              </w:rPr>
                              <w:t>30</w:t>
                            </w:r>
                          </w:p>
                        </w:tc>
                        <w:tc>
                          <w:tcPr>
                            <w:tcW w:w="2328" w:type="dxa"/>
                            <w:tcBorders>
                              <w:bottom w:val="single" w:color="auto" w:sz="4" w:space="0"/>
                            </w:tcBorders>
                            <w:vAlign w:val="center"/>
                          </w:tcPr>
                          <w:p>
                            <w:pPr>
                              <w:pStyle w:val="53"/>
                              <w:spacing w:before="38"/>
                              <w:jc w:val="center"/>
                              <w:rPr>
                                <w:sz w:val="21"/>
                              </w:rPr>
                            </w:pPr>
                            <w:r>
                              <w:rPr>
                                <w:sz w:val="21"/>
                              </w:rPr>
                              <w:t>手术麻醉信息管理系统</w:t>
                            </w:r>
                          </w:p>
                        </w:tc>
                        <w:tc>
                          <w:tcPr>
                            <w:tcW w:w="6365" w:type="dxa"/>
                            <w:tcBorders>
                              <w:bottom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主要实现手术申请、手术安排、器械管理。手术知情同意书、术前</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访视、麻醉知情同意书、手术记录等相关文书书写管理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991" w:type="dxa"/>
                            <w:vMerge w:val="restart"/>
                            <w:tcBorders>
                              <w:top w:val="single" w:color="auto" w:sz="4" w:space="0"/>
                              <w:left w:val="single" w:color="auto" w:sz="4" w:space="0"/>
                              <w:bottom w:val="single" w:color="auto" w:sz="4" w:space="0"/>
                              <w:right w:val="single" w:color="auto" w:sz="4" w:space="0"/>
                            </w:tcBorders>
                            <w:vAlign w:val="center"/>
                          </w:tcPr>
                          <w:p>
                            <w:pPr>
                              <w:pStyle w:val="53"/>
                              <w:ind w:left="15"/>
                              <w:jc w:val="center"/>
                              <w:rPr>
                                <w:rFonts w:hint="eastAsia" w:ascii="Microsoft JhengHei" w:eastAsia="Microsoft JhengHei"/>
                                <w:b/>
                                <w:sz w:val="21"/>
                              </w:rPr>
                            </w:pPr>
                            <w:r>
                              <w:rPr>
                                <w:rFonts w:hint="eastAsia" w:ascii="Microsoft JhengHei" w:eastAsia="Microsoft JhengHei"/>
                                <w:b/>
                                <w:sz w:val="21"/>
                              </w:rPr>
                              <w:t>其他模块</w:t>
                            </w: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49"/>
                              <w:ind w:right="5"/>
                              <w:jc w:val="center"/>
                              <w:rPr>
                                <w:sz w:val="21"/>
                              </w:rPr>
                            </w:pPr>
                            <w:r>
                              <w:rPr>
                                <w:sz w:val="21"/>
                              </w:rPr>
                              <w:t>31</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49"/>
                              <w:jc w:val="center"/>
                              <w:rPr>
                                <w:sz w:val="21"/>
                              </w:rPr>
                            </w:pPr>
                            <w:r>
                              <w:rPr>
                                <w:sz w:val="21"/>
                              </w:rPr>
                              <w:t>总务物资管理系统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5"/>
                                <w:sz w:val="21"/>
                              </w:rPr>
                              <w:t>本系统是以医院总务物资库物品进销存为核心的管理系统，主要涉</w:t>
                            </w:r>
                            <w:r>
                              <w:rPr>
                                <w:spacing w:val="-10"/>
                                <w:sz w:val="21"/>
                              </w:rPr>
                              <w:t>及物资信息管理、采购入库、增损调价、盘存核算、发票管理以及条码</w:t>
                            </w:r>
                            <w:r>
                              <w:rPr>
                                <w:spacing w:val="-11"/>
                                <w:sz w:val="21"/>
                              </w:rPr>
                              <w:t>管理等功能。本系统优化后勤物资管理流程，对医院物资从采购到出入</w:t>
                            </w:r>
                            <w:r>
                              <w:rPr>
                                <w:spacing w:val="-8"/>
                                <w:sz w:val="21"/>
                              </w:rPr>
                              <w:t>库再到财务核算等流程全方位监控，使得每一个环节得到跟踪从而有据</w:t>
                            </w:r>
                          </w:p>
                          <w:p>
                            <w:pPr>
                              <w:pStyle w:val="53"/>
                              <w:keepNext w:val="0"/>
                              <w:keepLines w:val="0"/>
                              <w:pageBreakBefore w:val="0"/>
                              <w:widowControl w:val="0"/>
                              <w:kinsoku/>
                              <w:wordWrap/>
                              <w:overflowPunct/>
                              <w:topLinePunct w:val="0"/>
                              <w:autoSpaceDE/>
                              <w:autoSpaceDN/>
                              <w:bidi w:val="0"/>
                              <w:adjustRightInd/>
                              <w:snapToGrid/>
                              <w:spacing w:line="268" w:lineRule="exact"/>
                              <w:ind w:left="0"/>
                              <w:jc w:val="both"/>
                              <w:textAlignment w:val="auto"/>
                              <w:rPr>
                                <w:sz w:val="21"/>
                              </w:rPr>
                            </w:pPr>
                            <w:r>
                              <w:rPr>
                                <w:sz w:val="21"/>
                              </w:rPr>
                              <w:t>可查，让物资物品得到有效的管理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32</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94" w:line="278" w:lineRule="auto"/>
                              <w:ind w:right="19"/>
                              <w:jc w:val="center"/>
                              <w:rPr>
                                <w:rFonts w:ascii="Times New Roman" w:eastAsia="Times New Roman"/>
                                <w:sz w:val="21"/>
                              </w:rPr>
                            </w:pPr>
                            <w:r>
                              <w:rPr>
                                <w:sz w:val="21"/>
                              </w:rPr>
                              <w:t>医院感染和疾病上报系统</w:t>
                            </w:r>
                            <w:r>
                              <w:rPr>
                                <w:rFonts w:ascii="Times New Roman" w:eastAsia="Times New Roman"/>
                                <w:sz w:val="21"/>
                              </w:rPr>
                              <w:t>(</w:t>
                            </w:r>
                            <w:r>
                              <w:rPr>
                                <w:sz w:val="21"/>
                              </w:rPr>
                              <w:t>含流感监测接口</w:t>
                            </w:r>
                            <w:r>
                              <w:rPr>
                                <w:rFonts w:ascii="Times New Roman" w:eastAsia="Times New Roman"/>
                                <w:sz w:val="21"/>
                              </w:rPr>
                              <w:t>)</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7"/>
                                <w:sz w:val="21"/>
                              </w:rPr>
                              <w:t>加强医院感染的预防和控制，消除医院感染的危险因素，并根据监</w:t>
                            </w:r>
                            <w:r>
                              <w:rPr>
                                <w:spacing w:val="-6"/>
                                <w:sz w:val="21"/>
                              </w:rPr>
                              <w:t>测过程中发现的问题提出相应的具体措施，以减少医院感染的发生，保</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护医院环境中特殊人群的健康。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33</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line="278" w:lineRule="auto"/>
                              <w:ind w:right="19"/>
                              <w:jc w:val="center"/>
                              <w:rPr>
                                <w:sz w:val="21"/>
                              </w:rPr>
                            </w:pPr>
                            <w:r>
                              <w:rPr>
                                <w:sz w:val="21"/>
                              </w:rPr>
                              <w:t>设备管理系统（基础版）</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8"/>
                                <w:sz w:val="21"/>
                              </w:rPr>
                              <w:t>设备相关基础字典数据维护、采购计划、库存档案管理、采购票据</w:t>
                            </w:r>
                            <w:r>
                              <w:rPr>
                                <w:spacing w:val="-11"/>
                                <w:sz w:val="21"/>
                              </w:rPr>
                              <w:t>管理、设备出入库管理、科室领用、设备盘点、折旧及报损管理、计量</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设备检验、维修登记及相关查询统计等。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34</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医院办公管理系统</w:t>
                            </w:r>
                          </w:p>
                          <w:p>
                            <w:pPr>
                              <w:pStyle w:val="53"/>
                              <w:spacing w:before="43"/>
                              <w:ind w:left="14"/>
                              <w:jc w:val="center"/>
                              <w:rPr>
                                <w:sz w:val="21"/>
                              </w:rPr>
                            </w:pPr>
                            <w:r>
                              <w:rPr>
                                <w:sz w:val="21"/>
                              </w:rPr>
                              <w:t>（HOA 基础版）</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医院内部网上办公：医院信息，公文发布、回复，电子邮件管理</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信息查阅。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35</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jc w:val="center"/>
                              <w:rPr>
                                <w:sz w:val="21"/>
                              </w:rPr>
                            </w:pPr>
                            <w:r>
                              <w:rPr>
                                <w:sz w:val="21"/>
                              </w:rPr>
                              <w:t>抗菌药物应用监控系统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11"/>
                                <w:sz w:val="21"/>
                              </w:rPr>
                              <w:t>按国家卫计委的规定，对处方、医嘱抗菌素的使用进行实时动态监测，实时动态记录，查询、统计、分析、报表，包含事前监控和事后分</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ind w:right="5"/>
                              <w:jc w:val="center"/>
                              <w:rPr>
                                <w:sz w:val="21"/>
                              </w:rPr>
                            </w:pPr>
                            <w:r>
                              <w:rPr>
                                <w:sz w:val="21"/>
                              </w:rPr>
                              <w:t>36</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4"/>
                              <w:jc w:val="center"/>
                              <w:rPr>
                                <w:sz w:val="27"/>
                              </w:rPr>
                            </w:pPr>
                          </w:p>
                          <w:p>
                            <w:pPr>
                              <w:pStyle w:val="53"/>
                              <w:jc w:val="center"/>
                              <w:rPr>
                                <w:sz w:val="21"/>
                              </w:rPr>
                            </w:pPr>
                            <w:r>
                              <w:rPr>
                                <w:sz w:val="21"/>
                              </w:rPr>
                              <w:t>处方及医嘱点评系统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8"/>
                                <w:sz w:val="21"/>
                              </w:rPr>
                              <w:t>按国家卫计委的规定，对处方、医嘱进行动态审查、评价，事后点</w:t>
                            </w:r>
                            <w:r>
                              <w:rPr>
                                <w:spacing w:val="-11"/>
                                <w:sz w:val="21"/>
                              </w:rPr>
                              <w:t>评，查询、统计、分析、报表。普通点评及专项点评、点评结果申述及</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37</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81"/>
                              <w:jc w:val="center"/>
                              <w:rPr>
                                <w:sz w:val="21"/>
                              </w:rPr>
                            </w:pPr>
                            <w:r>
                              <w:rPr>
                                <w:sz w:val="21"/>
                              </w:rPr>
                              <w:t>危急值管理系统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提供危急报告、危急阅读、查询统计等功能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38</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jc w:val="center"/>
                              <w:rPr>
                                <w:sz w:val="21"/>
                              </w:rPr>
                            </w:pPr>
                            <w:r>
                              <w:rPr>
                                <w:sz w:val="21"/>
                              </w:rPr>
                              <w:t>中药调剂系统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主要包括收方、审方、领方、调剂、复核、发药、工作量统计等功</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能，并可与排队管理系统连接，实现信息共享，优化操作流程；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39</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jc w:val="center"/>
                              <w:rPr>
                                <w:sz w:val="21"/>
                              </w:rPr>
                            </w:pPr>
                            <w:r>
                              <w:rPr>
                                <w:sz w:val="21"/>
                              </w:rPr>
                              <w:t>中药煎药系统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jc w:val="both"/>
                              <w:textAlignment w:val="auto"/>
                              <w:rPr>
                                <w:sz w:val="21"/>
                              </w:rPr>
                            </w:pPr>
                            <w:r>
                              <w:rPr>
                                <w:sz w:val="21"/>
                              </w:rPr>
                              <w:t>主要包括收方(住院处方与门诊处方),泡药，煎药，装袋，复核，</w:t>
                            </w:r>
                          </w:p>
                          <w:p>
                            <w:pPr>
                              <w:pStyle w:val="53"/>
                              <w:keepNext w:val="0"/>
                              <w:keepLines w:val="0"/>
                              <w:pageBreakBefore w:val="0"/>
                              <w:widowControl w:val="0"/>
                              <w:kinsoku/>
                              <w:wordWrap/>
                              <w:overflowPunct/>
                              <w:topLinePunct w:val="0"/>
                              <w:autoSpaceDE/>
                              <w:autoSpaceDN/>
                              <w:bidi w:val="0"/>
                              <w:adjustRightInd/>
                              <w:snapToGrid/>
                              <w:spacing w:line="310" w:lineRule="atLeast"/>
                              <w:ind w:left="0" w:right="2"/>
                              <w:jc w:val="both"/>
                              <w:textAlignment w:val="auto"/>
                              <w:rPr>
                                <w:sz w:val="21"/>
                              </w:rPr>
                            </w:pPr>
                            <w:r>
                              <w:rPr>
                                <w:spacing w:val="-12"/>
                                <w:sz w:val="21"/>
                              </w:rPr>
                              <w:t>发药，统计报表等功能。并与微信公众号系统关联，实现数据的及时提</w:t>
                            </w:r>
                            <w:r>
                              <w:rPr>
                                <w:sz w:val="21"/>
                              </w:rPr>
                              <w:t>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40</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腕带识别安全保障系统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9"/>
                                <w:sz w:val="21"/>
                              </w:rPr>
                              <w:t xml:space="preserve">病人条码或 </w:t>
                            </w:r>
                            <w:r>
                              <w:rPr>
                                <w:sz w:val="21"/>
                              </w:rPr>
                              <w:t>RFID</w:t>
                            </w:r>
                            <w:r>
                              <w:rPr>
                                <w:spacing w:val="-9"/>
                                <w:sz w:val="21"/>
                              </w:rPr>
                              <w:t xml:space="preserve"> 腕带识别，检查、检验、输液、输血条码，病人</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条码腕带生成、打印、现场审核，差错报警(不包括硬件)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41</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rFonts w:ascii="Calibri" w:eastAsia="Calibri"/>
                                <w:sz w:val="21"/>
                              </w:rPr>
                            </w:pPr>
                            <w:r>
                              <w:rPr>
                                <w:sz w:val="21"/>
                              </w:rPr>
                              <w:t>反统方系统</w:t>
                            </w:r>
                            <w:r>
                              <w:rPr>
                                <w:rFonts w:ascii="Calibri" w:eastAsia="Calibri"/>
                                <w:sz w:val="21"/>
                              </w:rPr>
                              <w:t>(</w:t>
                            </w:r>
                            <w:r>
                              <w:rPr>
                                <w:sz w:val="21"/>
                              </w:rPr>
                              <w:t>含硬件</w:t>
                            </w:r>
                            <w:r>
                              <w:rPr>
                                <w:rFonts w:ascii="Calibri" w:eastAsia="Calibri"/>
                                <w:sz w:val="21"/>
                              </w:rPr>
                              <w:t>)</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满足医院对反统方的需求和对信息安全等级保护的需求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42</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jc w:val="center"/>
                              <w:rPr>
                                <w:sz w:val="21"/>
                              </w:rPr>
                            </w:pPr>
                            <w:r>
                              <w:rPr>
                                <w:sz w:val="21"/>
                              </w:rPr>
                              <w:t>临床路径管理</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jc w:val="both"/>
                              <w:textAlignment w:val="auto"/>
                              <w:rPr>
                                <w:sz w:val="21"/>
                              </w:rPr>
                            </w:pPr>
                            <w:r>
                              <w:rPr>
                                <w:spacing w:val="-8"/>
                                <w:sz w:val="21"/>
                              </w:rPr>
                              <w:t>主要实现路径标准维护、医嘱项目对照、路径执行、路径变更、路</w:t>
                            </w:r>
                          </w:p>
                          <w:p>
                            <w:pPr>
                              <w:pStyle w:val="53"/>
                              <w:keepNext w:val="0"/>
                              <w:keepLines w:val="0"/>
                              <w:pageBreakBefore w:val="0"/>
                              <w:widowControl w:val="0"/>
                              <w:kinsoku/>
                              <w:wordWrap/>
                              <w:overflowPunct/>
                              <w:topLinePunct w:val="0"/>
                              <w:autoSpaceDE/>
                              <w:autoSpaceDN/>
                              <w:bidi w:val="0"/>
                              <w:adjustRightInd/>
                              <w:snapToGrid/>
                              <w:spacing w:line="310" w:lineRule="atLeast"/>
                              <w:ind w:left="0" w:right="2"/>
                              <w:jc w:val="both"/>
                              <w:textAlignment w:val="auto"/>
                              <w:rPr>
                                <w:sz w:val="21"/>
                              </w:rPr>
                            </w:pPr>
                            <w:r>
                              <w:rPr>
                                <w:spacing w:val="-11"/>
                                <w:sz w:val="21"/>
                              </w:rPr>
                              <w:t>径延期、路径中转、路径退出、路径变异管理、路径外项目管理、路径</w:t>
                            </w:r>
                            <w:r>
                              <w:rPr>
                                <w:sz w:val="21"/>
                              </w:rPr>
                              <w:t>使用分析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43</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81"/>
                              <w:jc w:val="center"/>
                              <w:rPr>
                                <w:sz w:val="21"/>
                              </w:rPr>
                            </w:pPr>
                            <w:r>
                              <w:rPr>
                                <w:sz w:val="21"/>
                              </w:rPr>
                              <w:t>产科及新生儿管理</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hint="default" w:ascii="Times New Roman" w:eastAsia="宋体"/>
                                <w:sz w:val="20"/>
                                <w:highlight w:val="yellow"/>
                                <w:lang w:val="en-US" w:eastAsia="zh-CN"/>
                              </w:rPr>
                            </w:pPr>
                            <w:r>
                              <w:rPr>
                                <w:rFonts w:hint="eastAsia" w:ascii="Times New Roman"/>
                                <w:sz w:val="20"/>
                                <w:highlight w:val="yellow"/>
                                <w:lang w:val="en-US" w:eastAsia="zh-CN"/>
                              </w:rPr>
                              <w:t>产科及新生儿电子病历系统，同床医嘱计费等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1"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53" w:type="dxa"/>
                            <w:tcBorders>
                              <w:top w:val="single" w:color="auto" w:sz="4" w:space="0"/>
                              <w:left w:val="single" w:color="auto" w:sz="4" w:space="0"/>
                              <w:bottom w:val="single" w:color="auto" w:sz="4" w:space="0"/>
                              <w:right w:val="single" w:color="auto" w:sz="4" w:space="0"/>
                            </w:tcBorders>
                            <w:vAlign w:val="center"/>
                          </w:tcPr>
                          <w:p>
                            <w:pPr>
                              <w:pStyle w:val="53"/>
                              <w:spacing w:before="1"/>
                              <w:jc w:val="center"/>
                              <w:rPr>
                                <w:sz w:val="15"/>
                              </w:rPr>
                            </w:pPr>
                          </w:p>
                          <w:p>
                            <w:pPr>
                              <w:pStyle w:val="53"/>
                              <w:spacing w:before="1"/>
                              <w:ind w:right="5"/>
                              <w:jc w:val="center"/>
                              <w:rPr>
                                <w:sz w:val="21"/>
                              </w:rPr>
                            </w:pPr>
                            <w:r>
                              <w:rPr>
                                <w:sz w:val="21"/>
                              </w:rPr>
                              <w:t>44</w:t>
                            </w:r>
                          </w:p>
                        </w:tc>
                        <w:tc>
                          <w:tcPr>
                            <w:tcW w:w="2328"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预防接种信息管理系统</w:t>
                            </w:r>
                          </w:p>
                        </w:tc>
                        <w:tc>
                          <w:tcPr>
                            <w:tcW w:w="6365"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hint="default" w:ascii="Times New Roman" w:eastAsia="宋体"/>
                                <w:sz w:val="20"/>
                                <w:highlight w:val="yellow"/>
                                <w:lang w:val="en-US" w:eastAsia="zh-CN"/>
                              </w:rPr>
                            </w:pPr>
                            <w:r>
                              <w:rPr>
                                <w:rFonts w:hint="eastAsia" w:ascii="Times New Roman"/>
                                <w:sz w:val="20"/>
                                <w:highlight w:val="yellow"/>
                                <w:lang w:val="en-US" w:eastAsia="zh-CN"/>
                              </w:rPr>
                              <w:t>预防接种登记、记录、统计、查询</w:t>
                            </w:r>
                          </w:p>
                        </w:tc>
                      </w:tr>
                    </w:tbl>
                    <w:p>
                      <w:pPr>
                        <w:pStyle w:val="10"/>
                      </w:pPr>
                    </w:p>
                  </w:txbxContent>
                </v:textbox>
              </v:shape>
            </w:pict>
          </mc:Fallback>
        </mc:AlternateConten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5"/>
        <w:rPr>
          <w:rFonts w:hint="eastAsia" w:ascii="宋体" w:hAnsi="宋体" w:eastAsia="宋体" w:cs="宋体"/>
          <w:sz w:val="24"/>
          <w:szCs w:val="24"/>
          <w:highlight w:val="none"/>
        </w:rPr>
      </w:pPr>
    </w:p>
    <w:p>
      <w:pPr>
        <w:pStyle w:val="10"/>
        <w:spacing w:before="71"/>
        <w:ind w:right="116"/>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spacing w:after="0"/>
        <w:jc w:val="right"/>
        <w:rPr>
          <w:rFonts w:hint="eastAsia" w:ascii="宋体" w:hAnsi="宋体" w:eastAsia="宋体" w:cs="宋体"/>
          <w:sz w:val="24"/>
          <w:szCs w:val="24"/>
          <w:highlight w:val="none"/>
        </w:rPr>
        <w:sectPr>
          <w:pgSz w:w="11910" w:h="16840"/>
          <w:pgMar w:top="1420" w:right="520" w:bottom="1160" w:left="620" w:header="0" w:footer="895" w:gutter="0"/>
          <w:pgNumType w:fmt="decimal"/>
          <w:cols w:space="720" w:num="1"/>
        </w:sect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5"/>
        <w:rPr>
          <w:rFonts w:hint="eastAsia" w:ascii="宋体" w:hAnsi="宋体" w:eastAsia="宋体" w:cs="宋体"/>
          <w:sz w:val="24"/>
          <w:szCs w:val="24"/>
          <w:highlight w:val="none"/>
        </w:rPr>
      </w:pPr>
    </w:p>
    <w:p>
      <w:pPr>
        <w:pStyle w:val="10"/>
        <w:spacing w:before="71"/>
        <w:ind w:right="116"/>
        <w:jc w:val="righ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8480" behindDoc="0" locked="0" layoutInCell="1" allowOverlap="1">
                <wp:simplePos x="0" y="0"/>
                <wp:positionH relativeFrom="page">
                  <wp:posOffset>457200</wp:posOffset>
                </wp:positionH>
                <wp:positionV relativeFrom="paragraph">
                  <wp:posOffset>-1205865</wp:posOffset>
                </wp:positionV>
                <wp:extent cx="6649085" cy="73037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649085" cy="7303770"/>
                        </a:xfrm>
                        <a:prstGeom prst="rect">
                          <a:avLst/>
                        </a:prstGeom>
                        <a:noFill/>
                        <a:ln>
                          <a:noFill/>
                        </a:ln>
                      </wps:spPr>
                      <wps:txbx>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661"/>
                              <w:gridCol w:w="2355"/>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restart"/>
                                </w:tcPr>
                                <w:p>
                                  <w:pPr>
                                    <w:pStyle w:val="53"/>
                                    <w:rPr>
                                      <w:rFonts w:ascii="Times New Roman"/>
                                      <w:sz w:val="20"/>
                                    </w:rPr>
                                  </w:pPr>
                                </w:p>
                              </w:tc>
                              <w:tc>
                                <w:tcPr>
                                  <w:tcW w:w="661" w:type="dxa"/>
                                  <w:vAlign w:val="center"/>
                                </w:tcPr>
                                <w:p>
                                  <w:pPr>
                                    <w:pStyle w:val="53"/>
                                    <w:ind w:right="5"/>
                                    <w:jc w:val="center"/>
                                    <w:rPr>
                                      <w:sz w:val="21"/>
                                    </w:rPr>
                                  </w:pPr>
                                  <w:r>
                                    <w:rPr>
                                      <w:sz w:val="21"/>
                                    </w:rPr>
                                    <w:t>45</w:t>
                                  </w:r>
                                </w:p>
                              </w:tc>
                              <w:tc>
                                <w:tcPr>
                                  <w:tcW w:w="2355" w:type="dxa"/>
                                  <w:vAlign w:val="center"/>
                                </w:tcPr>
                                <w:p>
                                  <w:pPr>
                                    <w:pStyle w:val="53"/>
                                    <w:jc w:val="center"/>
                                    <w:rPr>
                                      <w:sz w:val="21"/>
                                    </w:rPr>
                                  </w:pPr>
                                  <w:r>
                                    <w:rPr>
                                      <w:sz w:val="21"/>
                                    </w:rPr>
                                    <w:t>财务查询系统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1"/>
                                      <w:sz w:val="21"/>
                                    </w:rPr>
                                    <w:t>门诊查询、住院查询、药房查询、药库查询、物资查询等功能，为</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财务提供统一查询管理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46</w:t>
                                  </w:r>
                                </w:p>
                              </w:tc>
                              <w:tc>
                                <w:tcPr>
                                  <w:tcW w:w="2355" w:type="dxa"/>
                                  <w:vAlign w:val="center"/>
                                </w:tcPr>
                                <w:p>
                                  <w:pPr>
                                    <w:pStyle w:val="53"/>
                                    <w:jc w:val="center"/>
                                    <w:rPr>
                                      <w:sz w:val="21"/>
                                    </w:rPr>
                                  </w:pPr>
                                  <w:r>
                                    <w:rPr>
                                      <w:sz w:val="21"/>
                                    </w:rPr>
                                    <w:t>高值耗材信息追溯</w:t>
                                  </w:r>
                                </w:p>
                                <w:p>
                                  <w:pPr>
                                    <w:pStyle w:val="53"/>
                                    <w:spacing w:before="43"/>
                                    <w:ind w:left="14"/>
                                    <w:jc w:val="center"/>
                                    <w:rPr>
                                      <w:sz w:val="21"/>
                                    </w:rPr>
                                  </w:pPr>
                                  <w:r>
                                    <w:rPr>
                                      <w:sz w:val="21"/>
                                    </w:rPr>
                                    <w:t>(含APP)</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供应商资质管理、科室管理、条码管理、耗材管理、科室领用、出</w:t>
                                  </w:r>
                                  <w:r>
                                    <w:rPr>
                                      <w:spacing w:val="-11"/>
                                      <w:sz w:val="21"/>
                                    </w:rPr>
                                    <w:t>入库管理、采购计划、盘点核查、票据管理、患者消耗使用、耗材追溯</w:t>
                                  </w:r>
                                  <w:r>
                                    <w:rPr>
                                      <w:spacing w:val="-5"/>
                                      <w:sz w:val="21"/>
                                    </w:rPr>
                                    <w:t>以及相关查询统计等功能，含供应链互联网管理</w:t>
                                  </w:r>
                                  <w:r>
                                    <w:rPr>
                                      <w:sz w:val="21"/>
                                    </w:rPr>
                                    <w:t>（网站</w:t>
                                  </w:r>
                                  <w:r>
                                    <w:rPr>
                                      <w:spacing w:val="-35"/>
                                      <w:sz w:val="21"/>
                                    </w:rPr>
                                    <w:t>）</w:t>
                                  </w:r>
                                  <w:r>
                                    <w:rPr>
                                      <w:spacing w:val="-3"/>
                                      <w:sz w:val="21"/>
                                    </w:rPr>
                                    <w:t>科室物资管理</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47</w:t>
                                  </w:r>
                                </w:p>
                              </w:tc>
                              <w:tc>
                                <w:tcPr>
                                  <w:tcW w:w="2355" w:type="dxa"/>
                                  <w:vAlign w:val="center"/>
                                </w:tcPr>
                                <w:p>
                                  <w:pPr>
                                    <w:pStyle w:val="53"/>
                                    <w:jc w:val="center"/>
                                    <w:rPr>
                                      <w:sz w:val="21"/>
                                    </w:rPr>
                                  </w:pPr>
                                  <w:r>
                                    <w:rPr>
                                      <w:sz w:val="21"/>
                                    </w:rPr>
                                    <w:t>体检系统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个检体检、团检体检功能；科室分检、科室总检，包含会员管理</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检后管理功能；报告生成、体检项目设置，体检表生成，统计报表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003" w:type="dxa"/>
                                  <w:vMerge w:val="continue"/>
                                  <w:tcBorders>
                                    <w:top w:val="nil"/>
                                    <w:bottom w:val="single" w:color="auto" w:sz="4" w:space="0"/>
                                  </w:tcBorders>
                                </w:tcPr>
                                <w:p>
                                  <w:pPr>
                                    <w:rPr>
                                      <w:sz w:val="2"/>
                                      <w:szCs w:val="2"/>
                                    </w:rPr>
                                  </w:pPr>
                                </w:p>
                              </w:tc>
                              <w:tc>
                                <w:tcPr>
                                  <w:tcW w:w="661" w:type="dxa"/>
                                  <w:tcBorders>
                                    <w:bottom w:val="single" w:color="auto" w:sz="4" w:space="0"/>
                                  </w:tcBorders>
                                  <w:vAlign w:val="center"/>
                                </w:tcPr>
                                <w:p>
                                  <w:pPr>
                                    <w:pStyle w:val="53"/>
                                    <w:ind w:right="5"/>
                                    <w:jc w:val="center"/>
                                    <w:rPr>
                                      <w:sz w:val="21"/>
                                    </w:rPr>
                                  </w:pPr>
                                  <w:r>
                                    <w:rPr>
                                      <w:sz w:val="21"/>
                                    </w:rPr>
                                    <w:t>48</w:t>
                                  </w:r>
                                </w:p>
                              </w:tc>
                              <w:tc>
                                <w:tcPr>
                                  <w:tcW w:w="2355" w:type="dxa"/>
                                  <w:tcBorders>
                                    <w:bottom w:val="single" w:color="auto" w:sz="4" w:space="0"/>
                                  </w:tcBorders>
                                  <w:vAlign w:val="center"/>
                                </w:tcPr>
                                <w:p>
                                  <w:pPr>
                                    <w:pStyle w:val="53"/>
                                    <w:jc w:val="center"/>
                                    <w:rPr>
                                      <w:sz w:val="21"/>
                                    </w:rPr>
                                  </w:pPr>
                                  <w:r>
                                    <w:rPr>
                                      <w:sz w:val="21"/>
                                    </w:rPr>
                                    <w:t>医疗不良事件报告系统</w:t>
                                  </w:r>
                                </w:p>
                              </w:tc>
                              <w:tc>
                                <w:tcPr>
                                  <w:tcW w:w="6437" w:type="dxa"/>
                                  <w:tcBorders>
                                    <w:bottom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提供对护理不良事件、医疗安全不良事件、药品不良事件、医疗器</w:t>
                                  </w:r>
                                  <w:r>
                                    <w:rPr>
                                      <w:sz w:val="21"/>
                                    </w:rPr>
                                    <w:t>械不良事件、压疮不良事件、难免压疮不良事件、跌倒高危不良事件</w:t>
                                  </w:r>
                                  <w:r>
                                    <w:rPr>
                                      <w:spacing w:val="-10"/>
                                      <w:sz w:val="21"/>
                                    </w:rPr>
                                    <w:t>跌倒坠床不良事件上报、修改、审核进行管理。对上报数据进行查询统</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pStyle w:val="53"/>
                                    <w:jc w:val="center"/>
                                    <w:rPr>
                                      <w:rFonts w:hint="eastAsia" w:ascii="Microsoft JhengHei" w:eastAsia="Microsoft JhengHei"/>
                                      <w:b/>
                                      <w:sz w:val="21"/>
                                    </w:rPr>
                                  </w:pPr>
                                  <w:r>
                                    <w:rPr>
                                      <w:rFonts w:hint="eastAsia" w:ascii="Microsoft JhengHei" w:eastAsia="Microsoft JhengHei"/>
                                      <w:b/>
                                      <w:sz w:val="21"/>
                                    </w:rPr>
                                    <w:t>数据接口</w:t>
                                  </w:r>
                                </w:p>
                              </w:tc>
                              <w:tc>
                                <w:tcPr>
                                  <w:tcW w:w="661"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49</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医保接口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门诊、住院医保接口管理，数据传输(按医保接口文档要求开发)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50</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rFonts w:ascii="Calibri" w:eastAsia="Calibri"/>
                                      <w:sz w:val="21"/>
                                    </w:rPr>
                                    <w:t xml:space="preserve">LIS </w:t>
                                  </w:r>
                                  <w:r>
                                    <w:rPr>
                                      <w:sz w:val="21"/>
                                    </w:rPr>
                                    <w:t>报告自助打印接口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 LIS 报告自助打印接口的基本功能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51</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网络直报病案数据接口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5"/>
                                      <w:sz w:val="21"/>
                                    </w:rPr>
                                    <w:t xml:space="preserve">符合国家卫生直报系统 </w:t>
                                  </w:r>
                                  <w:r>
                                    <w:rPr>
                                      <w:sz w:val="21"/>
                                    </w:rPr>
                                    <w:t>2018</w:t>
                                  </w:r>
                                  <w:r>
                                    <w:rPr>
                                      <w:spacing w:val="-9"/>
                                      <w:sz w:val="21"/>
                                    </w:rPr>
                                    <w:t xml:space="preserve"> 基层病案数据接口文档及修订文档规</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52</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药采平台接口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符合陕西省药品供应链全流程闭环监控系统医疗机构接入标准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53</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全民健康信息平台接口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安康市区域卫生信息平台标准规范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54</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智慧护理大屏数据对接</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功能模块的设计符合医嘱专业术语和临床护理术语的标准和协议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55</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移动护士站数据对接</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无线网络建立，通过无线网络移动护理，临床信息现场即时调用</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查询，现场审核、执行医嘱，录入三测数据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56</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触摸屏查询</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7"/>
                                      <w:sz w:val="21"/>
                                    </w:rPr>
                                    <w:t>医院介绍、科室介绍、专家介绍、医疗政策、药品价格、收费标准</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门诊住院费用查询功能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57</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区域化信息平台接口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符合居民电子健康档案与医疗卫生机构信息系统对接及数据规范</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v16.0.5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58</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line="278" w:lineRule="auto"/>
                                    <w:ind w:right="19"/>
                                    <w:jc w:val="center"/>
                                    <w:rPr>
                                      <w:sz w:val="21"/>
                                    </w:rPr>
                                  </w:pPr>
                                  <w:r>
                                    <w:rPr>
                                      <w:sz w:val="21"/>
                                    </w:rPr>
                                    <w:t>二级公立中医院绩效考核数据查询及病案接口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4"/>
                                    <w:jc w:val="both"/>
                                    <w:textAlignment w:val="auto"/>
                                    <w:rPr>
                                      <w:sz w:val="21"/>
                                    </w:rPr>
                                  </w:pPr>
                                  <w:r>
                                    <w:rPr>
                                      <w:sz w:val="21"/>
                                    </w:rPr>
                                    <w:t>符合国家二级公立中医医院绩效考核操作手册（2020 修订版）及公立三级与二级中医院病案首页数据采集接口文档修订中医诊断 v2.0</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数据要求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59</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rFonts w:ascii="Times New Roman" w:eastAsia="Times New Roman"/>
                                      <w:sz w:val="21"/>
                                    </w:rPr>
                                  </w:pPr>
                                  <w:r>
                                    <w:rPr>
                                      <w:sz w:val="21"/>
                                    </w:rPr>
                                    <w:t>居民健康卡</w:t>
                                  </w:r>
                                  <w:r>
                                    <w:rPr>
                                      <w:rFonts w:ascii="Times New Roman" w:eastAsia="Times New Roman"/>
                                      <w:sz w:val="21"/>
                                    </w:rPr>
                                    <w:t>(</w:t>
                                  </w:r>
                                  <w:r>
                                    <w:rPr>
                                      <w:sz w:val="21"/>
                                    </w:rPr>
                                    <w:t>包括实体卡和电子卡</w:t>
                                  </w:r>
                                  <w:r>
                                    <w:rPr>
                                      <w:rFonts w:ascii="Times New Roman" w:eastAsia="Times New Roman"/>
                                      <w:sz w:val="21"/>
                                    </w:rPr>
                                    <w:t>)</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居民健康卡标准规范(包含万达自助机和电子健康卡)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60</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医保数据飞行检查数据</w:t>
                                  </w:r>
                                </w:p>
                                <w:p>
                                  <w:pPr>
                                    <w:pStyle w:val="53"/>
                                    <w:spacing w:before="38"/>
                                    <w:jc w:val="center"/>
                                    <w:rPr>
                                      <w:sz w:val="21"/>
                                    </w:rPr>
                                  </w:pPr>
                                  <w:r>
                                    <w:rPr>
                                      <w:sz w:val="21"/>
                                    </w:rPr>
                                    <w:t>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符合汉医保发</w:t>
                                  </w:r>
                                  <w:r>
                                    <w:rPr>
                                      <w:rFonts w:ascii="Times New Roman" w:eastAsia="Times New Roman"/>
                                      <w:sz w:val="21"/>
                                    </w:rPr>
                                    <w:t xml:space="preserve">[2020]75 </w:t>
                                  </w:r>
                                  <w:r>
                                    <w:rPr>
                                      <w:sz w:val="21"/>
                                    </w:rPr>
                                    <w:t>号文件医保飞行检查数据提取文档要求</w:t>
                                  </w:r>
                                </w:p>
                              </w:tc>
                            </w:tr>
                          </w:tbl>
                          <w:p>
                            <w:pPr>
                              <w:pStyle w:val="10"/>
                            </w:pPr>
                          </w:p>
                        </w:txbxContent>
                      </wps:txbx>
                      <wps:bodyPr lIns="0" tIns="0" rIns="0" bIns="0" upright="1"/>
                    </wps:wsp>
                  </a:graphicData>
                </a:graphic>
              </wp:anchor>
            </w:drawing>
          </mc:Choice>
          <mc:Fallback>
            <w:pict>
              <v:shape id="_x0000_s1026" o:spid="_x0000_s1026" o:spt="202" type="#_x0000_t202" style="position:absolute;left:0pt;margin-left:36pt;margin-top:-94.95pt;height:575.1pt;width:523.55pt;mso-position-horizontal-relative:page;z-index:251668480;mso-width-relative:page;mso-height-relative:page;" filled="f" stroked="f" coordsize="21600,21600" o:gfxdata="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TL5s7aAAAADAEAAA8AAAAAAAAAAQAgAAAAIgAAAGRycy9kb3ducmV2Lnht&#10;bFBLAQIUABQAAAAIAIdO4kCeIKCQvgEAAHUDAAAOAAAAAAAAAAEAIAAAACkBAABkcnMvZTJvRG9j&#10;LnhtbFBLBQYAAAAABgAGAFkBAABZBQAAAAA=&#10;">
                <v:fill on="f" focussize="0,0"/>
                <v:stroke on="f"/>
                <v:imagedata o:title=""/>
                <o:lock v:ext="edit" aspectratio="f"/>
                <v:textbox inset="0mm,0mm,0mm,0mm">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661"/>
                        <w:gridCol w:w="2355"/>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restart"/>
                          </w:tcPr>
                          <w:p>
                            <w:pPr>
                              <w:pStyle w:val="53"/>
                              <w:rPr>
                                <w:rFonts w:ascii="Times New Roman"/>
                                <w:sz w:val="20"/>
                              </w:rPr>
                            </w:pPr>
                          </w:p>
                        </w:tc>
                        <w:tc>
                          <w:tcPr>
                            <w:tcW w:w="661" w:type="dxa"/>
                            <w:vAlign w:val="center"/>
                          </w:tcPr>
                          <w:p>
                            <w:pPr>
                              <w:pStyle w:val="53"/>
                              <w:ind w:right="5"/>
                              <w:jc w:val="center"/>
                              <w:rPr>
                                <w:sz w:val="21"/>
                              </w:rPr>
                            </w:pPr>
                            <w:r>
                              <w:rPr>
                                <w:sz w:val="21"/>
                              </w:rPr>
                              <w:t>45</w:t>
                            </w:r>
                          </w:p>
                        </w:tc>
                        <w:tc>
                          <w:tcPr>
                            <w:tcW w:w="2355" w:type="dxa"/>
                            <w:vAlign w:val="center"/>
                          </w:tcPr>
                          <w:p>
                            <w:pPr>
                              <w:pStyle w:val="53"/>
                              <w:jc w:val="center"/>
                              <w:rPr>
                                <w:sz w:val="21"/>
                              </w:rPr>
                            </w:pPr>
                            <w:r>
                              <w:rPr>
                                <w:sz w:val="21"/>
                              </w:rPr>
                              <w:t>财务查询系统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1"/>
                                <w:sz w:val="21"/>
                              </w:rPr>
                              <w:t>门诊查询、住院查询、药房查询、药库查询、物资查询等功能，为</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财务提供统一查询管理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46</w:t>
                            </w:r>
                          </w:p>
                        </w:tc>
                        <w:tc>
                          <w:tcPr>
                            <w:tcW w:w="2355" w:type="dxa"/>
                            <w:vAlign w:val="center"/>
                          </w:tcPr>
                          <w:p>
                            <w:pPr>
                              <w:pStyle w:val="53"/>
                              <w:jc w:val="center"/>
                              <w:rPr>
                                <w:sz w:val="21"/>
                              </w:rPr>
                            </w:pPr>
                            <w:r>
                              <w:rPr>
                                <w:sz w:val="21"/>
                              </w:rPr>
                              <w:t>高值耗材信息追溯</w:t>
                            </w:r>
                          </w:p>
                          <w:p>
                            <w:pPr>
                              <w:pStyle w:val="53"/>
                              <w:spacing w:before="43"/>
                              <w:ind w:left="14"/>
                              <w:jc w:val="center"/>
                              <w:rPr>
                                <w:sz w:val="21"/>
                              </w:rPr>
                            </w:pPr>
                            <w:r>
                              <w:rPr>
                                <w:sz w:val="21"/>
                              </w:rPr>
                              <w:t>(含APP)</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供应商资质管理、科室管理、条码管理、耗材管理、科室领用、出</w:t>
                            </w:r>
                            <w:r>
                              <w:rPr>
                                <w:spacing w:val="-11"/>
                                <w:sz w:val="21"/>
                              </w:rPr>
                              <w:t>入库管理、采购计划、盘点核查、票据管理、患者消耗使用、耗材追溯</w:t>
                            </w:r>
                            <w:r>
                              <w:rPr>
                                <w:spacing w:val="-5"/>
                                <w:sz w:val="21"/>
                              </w:rPr>
                              <w:t>以及相关查询统计等功能，含供应链互联网管理</w:t>
                            </w:r>
                            <w:r>
                              <w:rPr>
                                <w:sz w:val="21"/>
                              </w:rPr>
                              <w:t>（网站</w:t>
                            </w:r>
                            <w:r>
                              <w:rPr>
                                <w:spacing w:val="-35"/>
                                <w:sz w:val="21"/>
                              </w:rPr>
                              <w:t>）</w:t>
                            </w:r>
                            <w:r>
                              <w:rPr>
                                <w:spacing w:val="-3"/>
                                <w:sz w:val="21"/>
                              </w:rPr>
                              <w:t>科室物资管理</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nil"/>
                            </w:tcBorders>
                          </w:tcPr>
                          <w:p>
                            <w:pPr>
                              <w:rPr>
                                <w:sz w:val="2"/>
                                <w:szCs w:val="2"/>
                              </w:rPr>
                            </w:pPr>
                          </w:p>
                        </w:tc>
                        <w:tc>
                          <w:tcPr>
                            <w:tcW w:w="661" w:type="dxa"/>
                            <w:vAlign w:val="center"/>
                          </w:tcPr>
                          <w:p>
                            <w:pPr>
                              <w:pStyle w:val="53"/>
                              <w:ind w:right="5"/>
                              <w:jc w:val="center"/>
                              <w:rPr>
                                <w:sz w:val="21"/>
                              </w:rPr>
                            </w:pPr>
                            <w:r>
                              <w:rPr>
                                <w:sz w:val="21"/>
                              </w:rPr>
                              <w:t>47</w:t>
                            </w:r>
                          </w:p>
                        </w:tc>
                        <w:tc>
                          <w:tcPr>
                            <w:tcW w:w="2355" w:type="dxa"/>
                            <w:vAlign w:val="center"/>
                          </w:tcPr>
                          <w:p>
                            <w:pPr>
                              <w:pStyle w:val="53"/>
                              <w:jc w:val="center"/>
                              <w:rPr>
                                <w:sz w:val="21"/>
                              </w:rPr>
                            </w:pPr>
                            <w:r>
                              <w:rPr>
                                <w:sz w:val="21"/>
                              </w:rPr>
                              <w:t>体检系统</w:t>
                            </w:r>
                          </w:p>
                        </w:tc>
                        <w:tc>
                          <w:tcPr>
                            <w:tcW w:w="6437" w:type="dxa"/>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个检体检、团检体检功能；科室分检、科室总检，包含会员管理</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检后管理功能；报告生成、体检项目设置，体检表生成，统计报表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003" w:type="dxa"/>
                            <w:vMerge w:val="continue"/>
                            <w:tcBorders>
                              <w:top w:val="nil"/>
                              <w:bottom w:val="single" w:color="auto" w:sz="4" w:space="0"/>
                            </w:tcBorders>
                          </w:tcPr>
                          <w:p>
                            <w:pPr>
                              <w:rPr>
                                <w:sz w:val="2"/>
                                <w:szCs w:val="2"/>
                              </w:rPr>
                            </w:pPr>
                          </w:p>
                        </w:tc>
                        <w:tc>
                          <w:tcPr>
                            <w:tcW w:w="661" w:type="dxa"/>
                            <w:tcBorders>
                              <w:bottom w:val="single" w:color="auto" w:sz="4" w:space="0"/>
                            </w:tcBorders>
                            <w:vAlign w:val="center"/>
                          </w:tcPr>
                          <w:p>
                            <w:pPr>
                              <w:pStyle w:val="53"/>
                              <w:ind w:right="5"/>
                              <w:jc w:val="center"/>
                              <w:rPr>
                                <w:sz w:val="21"/>
                              </w:rPr>
                            </w:pPr>
                            <w:r>
                              <w:rPr>
                                <w:sz w:val="21"/>
                              </w:rPr>
                              <w:t>48</w:t>
                            </w:r>
                          </w:p>
                        </w:tc>
                        <w:tc>
                          <w:tcPr>
                            <w:tcW w:w="2355" w:type="dxa"/>
                            <w:tcBorders>
                              <w:bottom w:val="single" w:color="auto" w:sz="4" w:space="0"/>
                            </w:tcBorders>
                            <w:vAlign w:val="center"/>
                          </w:tcPr>
                          <w:p>
                            <w:pPr>
                              <w:pStyle w:val="53"/>
                              <w:jc w:val="center"/>
                              <w:rPr>
                                <w:sz w:val="21"/>
                              </w:rPr>
                            </w:pPr>
                            <w:r>
                              <w:rPr>
                                <w:sz w:val="21"/>
                              </w:rPr>
                              <w:t>医疗不良事件报告系统</w:t>
                            </w:r>
                          </w:p>
                        </w:tc>
                        <w:tc>
                          <w:tcPr>
                            <w:tcW w:w="6437" w:type="dxa"/>
                            <w:tcBorders>
                              <w:bottom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2"/>
                              <w:jc w:val="both"/>
                              <w:textAlignment w:val="auto"/>
                              <w:rPr>
                                <w:sz w:val="21"/>
                              </w:rPr>
                            </w:pPr>
                            <w:r>
                              <w:rPr>
                                <w:spacing w:val="-9"/>
                                <w:sz w:val="21"/>
                              </w:rPr>
                              <w:t>提供对护理不良事件、医疗安全不良事件、药品不良事件、医疗器</w:t>
                            </w:r>
                            <w:r>
                              <w:rPr>
                                <w:sz w:val="21"/>
                              </w:rPr>
                              <w:t>械不良事件、压疮不良事件、难免压疮不良事件、跌倒高危不良事件</w:t>
                            </w:r>
                            <w:r>
                              <w:rPr>
                                <w:spacing w:val="-10"/>
                                <w:sz w:val="21"/>
                              </w:rPr>
                              <w:t>跌倒坠床不良事件上报、修改、审核进行管理。对上报数据进行查询统</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pStyle w:val="53"/>
                              <w:jc w:val="center"/>
                              <w:rPr>
                                <w:rFonts w:hint="eastAsia" w:ascii="Microsoft JhengHei" w:eastAsia="Microsoft JhengHei"/>
                                <w:b/>
                                <w:sz w:val="21"/>
                              </w:rPr>
                            </w:pPr>
                            <w:r>
                              <w:rPr>
                                <w:rFonts w:hint="eastAsia" w:ascii="Microsoft JhengHei" w:eastAsia="Microsoft JhengHei"/>
                                <w:b/>
                                <w:sz w:val="21"/>
                              </w:rPr>
                              <w:t>数据接口</w:t>
                            </w:r>
                          </w:p>
                        </w:tc>
                        <w:tc>
                          <w:tcPr>
                            <w:tcW w:w="661"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49</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医保接口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门诊、住院医保接口管理，数据传输(按医保接口文档要求开发)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50</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rFonts w:ascii="Calibri" w:eastAsia="Calibri"/>
                                <w:sz w:val="21"/>
                              </w:rPr>
                              <w:t xml:space="preserve">LIS </w:t>
                            </w:r>
                            <w:r>
                              <w:rPr>
                                <w:sz w:val="21"/>
                              </w:rPr>
                              <w:t>报告自助打印接口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 LIS 报告自助打印接口的基本功能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51</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网络直报病案数据接口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5"/>
                                <w:sz w:val="21"/>
                              </w:rPr>
                              <w:t xml:space="preserve">符合国家卫生直报系统 </w:t>
                            </w:r>
                            <w:r>
                              <w:rPr>
                                <w:sz w:val="21"/>
                              </w:rPr>
                              <w:t>2018</w:t>
                            </w:r>
                            <w:r>
                              <w:rPr>
                                <w:spacing w:val="-9"/>
                                <w:sz w:val="21"/>
                              </w:rPr>
                              <w:t xml:space="preserve"> 基层病案数据接口文档及修订文档规</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spacing w:before="81"/>
                              <w:ind w:right="5"/>
                              <w:jc w:val="center"/>
                              <w:rPr>
                                <w:sz w:val="21"/>
                              </w:rPr>
                            </w:pPr>
                            <w:r>
                              <w:rPr>
                                <w:sz w:val="21"/>
                              </w:rPr>
                              <w:t>52</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药采平台接口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符合陕西省药品供应链全流程闭环监控系统医疗机构接入标准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53</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全民健康信息平台接口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安康市区域卫生信息平台标准规范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54</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智慧护理大屏数据对接</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功能模块的设计符合医嘱专业术语和临床护理术语的标准和协议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55</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移动护士站数据对接</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无线网络建立，通过无线网络移动护理，临床信息现场即时调用</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查询，现场审核、执行医嘱，录入三测数据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56</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触摸屏查询</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pacing w:val="-17"/>
                                <w:sz w:val="21"/>
                              </w:rPr>
                              <w:t>医院介绍、科室介绍、专家介绍、医疗政策、药品价格、收费标准</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门诊住院费用查询功能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57</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区域化信息平台接口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符合居民电子健康档案与医疗卫生机构信息系统对接及数据规范</w:t>
                            </w: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v16.0.5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58</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line="278" w:lineRule="auto"/>
                              <w:ind w:right="19"/>
                              <w:jc w:val="center"/>
                              <w:rPr>
                                <w:sz w:val="21"/>
                              </w:rPr>
                            </w:pPr>
                            <w:r>
                              <w:rPr>
                                <w:sz w:val="21"/>
                              </w:rPr>
                              <w:t>二级公立中医院绩效考核数据查询及病案接口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78" w:lineRule="auto"/>
                              <w:ind w:right="4"/>
                              <w:jc w:val="both"/>
                              <w:textAlignment w:val="auto"/>
                              <w:rPr>
                                <w:sz w:val="21"/>
                              </w:rPr>
                            </w:pPr>
                            <w:r>
                              <w:rPr>
                                <w:sz w:val="21"/>
                              </w:rPr>
                              <w:t>符合国家二级公立中医医院绩效考核操作手册（2020 修订版）及公立三级与二级中医院病案首页数据采集接口文档修订中医诊断 v2.0</w:t>
                            </w:r>
                          </w:p>
                          <w:p>
                            <w:pPr>
                              <w:pStyle w:val="53"/>
                              <w:keepNext w:val="0"/>
                              <w:keepLines w:val="0"/>
                              <w:pageBreakBefore w:val="0"/>
                              <w:widowControl w:val="0"/>
                              <w:kinsoku/>
                              <w:wordWrap/>
                              <w:overflowPunct/>
                              <w:topLinePunct w:val="0"/>
                              <w:autoSpaceDE/>
                              <w:autoSpaceDN/>
                              <w:bidi w:val="0"/>
                              <w:adjustRightInd/>
                              <w:snapToGrid/>
                              <w:spacing w:line="269" w:lineRule="exact"/>
                              <w:ind w:left="0"/>
                              <w:jc w:val="both"/>
                              <w:textAlignment w:val="auto"/>
                              <w:rPr>
                                <w:sz w:val="21"/>
                              </w:rPr>
                            </w:pPr>
                            <w:r>
                              <w:rPr>
                                <w:sz w:val="21"/>
                              </w:rPr>
                              <w:t>数据要求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59</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rFonts w:ascii="Times New Roman" w:eastAsia="Times New Roman"/>
                                <w:sz w:val="21"/>
                              </w:rPr>
                            </w:pPr>
                            <w:r>
                              <w:rPr>
                                <w:sz w:val="21"/>
                              </w:rPr>
                              <w:t>居民健康卡</w:t>
                            </w:r>
                            <w:r>
                              <w:rPr>
                                <w:rFonts w:ascii="Times New Roman" w:eastAsia="Times New Roman"/>
                                <w:sz w:val="21"/>
                              </w:rPr>
                              <w:t>(</w:t>
                            </w:r>
                            <w:r>
                              <w:rPr>
                                <w:sz w:val="21"/>
                              </w:rPr>
                              <w:t>包括实体卡和电子卡</w:t>
                            </w:r>
                            <w:r>
                              <w:rPr>
                                <w:rFonts w:ascii="Times New Roman" w:eastAsia="Times New Roman"/>
                                <w:sz w:val="21"/>
                              </w:rPr>
                              <w:t>)</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rFonts w:ascii="Microsoft JhengHei"/>
                                <w:b/>
                                <w:sz w:val="10"/>
                              </w:rPr>
                            </w:pPr>
                          </w:p>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居民健康卡标准规范(包含万达自助机和电子健康卡)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
                                <w:szCs w:val="2"/>
                              </w:rPr>
                            </w:pPr>
                          </w:p>
                        </w:tc>
                        <w:tc>
                          <w:tcPr>
                            <w:tcW w:w="661" w:type="dxa"/>
                            <w:tcBorders>
                              <w:top w:val="single" w:color="auto" w:sz="4" w:space="0"/>
                              <w:left w:val="single" w:color="auto" w:sz="4" w:space="0"/>
                              <w:bottom w:val="single" w:color="auto" w:sz="4" w:space="0"/>
                              <w:right w:val="single" w:color="auto" w:sz="4" w:space="0"/>
                            </w:tcBorders>
                            <w:vAlign w:val="center"/>
                          </w:tcPr>
                          <w:p>
                            <w:pPr>
                              <w:pStyle w:val="53"/>
                              <w:ind w:right="5"/>
                              <w:jc w:val="center"/>
                              <w:rPr>
                                <w:sz w:val="21"/>
                              </w:rPr>
                            </w:pPr>
                            <w:r>
                              <w:rPr>
                                <w:sz w:val="21"/>
                              </w:rPr>
                              <w:t>60</w:t>
                            </w:r>
                          </w:p>
                        </w:tc>
                        <w:tc>
                          <w:tcPr>
                            <w:tcW w:w="2355" w:type="dxa"/>
                            <w:tcBorders>
                              <w:top w:val="single" w:color="auto" w:sz="4" w:space="0"/>
                              <w:left w:val="single" w:color="auto" w:sz="4" w:space="0"/>
                              <w:bottom w:val="single" w:color="auto" w:sz="4" w:space="0"/>
                              <w:right w:val="single" w:color="auto" w:sz="4" w:space="0"/>
                            </w:tcBorders>
                            <w:vAlign w:val="center"/>
                          </w:tcPr>
                          <w:p>
                            <w:pPr>
                              <w:pStyle w:val="53"/>
                              <w:spacing w:before="38"/>
                              <w:jc w:val="center"/>
                              <w:rPr>
                                <w:sz w:val="21"/>
                              </w:rPr>
                            </w:pPr>
                            <w:r>
                              <w:rPr>
                                <w:sz w:val="21"/>
                              </w:rPr>
                              <w:t>医保数据飞行检查数据</w:t>
                            </w:r>
                          </w:p>
                          <w:p>
                            <w:pPr>
                              <w:pStyle w:val="53"/>
                              <w:spacing w:before="38"/>
                              <w:jc w:val="center"/>
                              <w:rPr>
                                <w:sz w:val="21"/>
                              </w:rPr>
                            </w:pPr>
                            <w:r>
                              <w:rPr>
                                <w:sz w:val="21"/>
                              </w:rPr>
                              <w:t>接口</w:t>
                            </w:r>
                          </w:p>
                        </w:tc>
                        <w:tc>
                          <w:tcPr>
                            <w:tcW w:w="6437"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ind w:left="0"/>
                              <w:jc w:val="both"/>
                              <w:textAlignment w:val="auto"/>
                              <w:rPr>
                                <w:sz w:val="21"/>
                              </w:rPr>
                            </w:pPr>
                            <w:r>
                              <w:rPr>
                                <w:sz w:val="21"/>
                              </w:rPr>
                              <w:t>符合汉医保发</w:t>
                            </w:r>
                            <w:r>
                              <w:rPr>
                                <w:rFonts w:ascii="Times New Roman" w:eastAsia="Times New Roman"/>
                                <w:sz w:val="21"/>
                              </w:rPr>
                              <w:t xml:space="preserve">[2020]75 </w:t>
                            </w:r>
                            <w:r>
                              <w:rPr>
                                <w:sz w:val="21"/>
                              </w:rPr>
                              <w:t>号文件医保飞行检查数据提取文档要求</w:t>
                            </w:r>
                          </w:p>
                        </w:tc>
                      </w:tr>
                    </w:tbl>
                    <w:p>
                      <w:pPr>
                        <w:pStyle w:val="10"/>
                      </w:pPr>
                    </w:p>
                  </w:txbxContent>
                </v:textbox>
              </v:shape>
            </w:pict>
          </mc:Fallback>
        </mc:AlternateContent>
      </w:r>
      <w:r>
        <w:rPr>
          <w:rFonts w:hint="eastAsia" w:ascii="宋体" w:hAnsi="宋体" w:eastAsia="宋体" w:cs="宋体"/>
          <w:sz w:val="24"/>
          <w:szCs w:val="24"/>
          <w:highlight w:val="none"/>
        </w:rPr>
        <w:t>，</w: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179"/>
        <w:ind w:right="116"/>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8"/>
        <w:rPr>
          <w:rFonts w:hint="eastAsia" w:ascii="宋体" w:hAnsi="宋体" w:eastAsia="宋体" w:cs="宋体"/>
          <w:sz w:val="24"/>
          <w:szCs w:val="24"/>
          <w:highlight w:val="none"/>
        </w:rPr>
      </w:pPr>
    </w:p>
    <w:p>
      <w:pPr>
        <w:pStyle w:val="10"/>
        <w:ind w:right="116"/>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spacing w:before="8"/>
        <w:rPr>
          <w:rFonts w:hint="eastAsia" w:ascii="宋体" w:hAnsi="宋体" w:eastAsia="宋体" w:cs="宋体"/>
          <w:sz w:val="24"/>
          <w:szCs w:val="24"/>
          <w:highlight w:val="none"/>
        </w:rPr>
      </w:pPr>
    </w:p>
    <w:p>
      <w:pPr>
        <w:pStyle w:val="10"/>
        <w:spacing w:before="1"/>
        <w:ind w:right="112"/>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rPr>
          <w:rFonts w:hint="eastAsia" w:ascii="宋体" w:hAnsi="宋体" w:eastAsia="宋体" w:cs="宋体"/>
          <w:sz w:val="24"/>
          <w:szCs w:val="24"/>
          <w:highlight w:val="none"/>
        </w:rPr>
      </w:pPr>
    </w:p>
    <w:p>
      <w:pPr>
        <w:pStyle w:val="10"/>
        <w:spacing w:before="8"/>
        <w:rPr>
          <w:rFonts w:hint="eastAsia" w:ascii="宋体" w:hAnsi="宋体" w:eastAsia="宋体" w:cs="宋体"/>
          <w:sz w:val="24"/>
          <w:szCs w:val="24"/>
          <w:highlight w:val="none"/>
        </w:rPr>
      </w:pPr>
    </w:p>
    <w:p>
      <w:pPr>
        <w:pStyle w:val="5"/>
        <w:bidi w:val="0"/>
        <w:rPr>
          <w:rFonts w:hint="eastAsia"/>
          <w:highlight w:val="none"/>
        </w:rPr>
      </w:pPr>
      <w:r>
        <w:rPr>
          <w:rFonts w:hint="eastAsia"/>
          <w:highlight w:val="none"/>
        </w:rPr>
        <w:t>②数据中心及异地备份容灾</w:t>
      </w:r>
    </w:p>
    <w:p>
      <w:pPr>
        <w:pStyle w:val="10"/>
        <w:spacing w:before="11"/>
        <w:rPr>
          <w:rFonts w:hint="eastAsia" w:ascii="宋体" w:hAnsi="宋体" w:eastAsia="宋体" w:cs="宋体"/>
          <w:b/>
          <w:sz w:val="24"/>
          <w:szCs w:val="24"/>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1413"/>
        <w:gridCol w:w="5261"/>
        <w:gridCol w:w="683"/>
        <w:gridCol w:w="668"/>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产品名称</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服务器</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CPU：≥2 颗，内存：≥128GB，硬盘：≥600GB SAS </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10K*2</w:t>
            </w:r>
            <w:r>
              <w:rPr>
                <w:rFonts w:hint="eastAsia" w:ascii="宋体" w:hAnsi="宋体" w:eastAsia="宋体" w:cs="宋体"/>
                <w:spacing w:val="-13"/>
                <w:sz w:val="21"/>
                <w:szCs w:val="21"/>
                <w:highlight w:val="none"/>
              </w:rPr>
              <w:t xml:space="preserve"> 块，网卡：提供</w:t>
            </w:r>
            <w:r>
              <w:rPr>
                <w:rFonts w:hint="eastAsia" w:ascii="宋体" w:hAnsi="宋体" w:eastAsia="宋体" w:cs="宋体"/>
                <w:sz w:val="21"/>
                <w:szCs w:val="21"/>
                <w:highlight w:val="none"/>
              </w:rPr>
              <w:t>≥2</w:t>
            </w:r>
            <w:r>
              <w:rPr>
                <w:rFonts w:hint="eastAsia" w:ascii="宋体" w:hAnsi="宋体" w:eastAsia="宋体" w:cs="宋体"/>
                <w:spacing w:val="-10"/>
                <w:sz w:val="21"/>
                <w:szCs w:val="21"/>
                <w:highlight w:val="none"/>
              </w:rPr>
              <w:t xml:space="preserve"> 个千兆网口</w:t>
            </w:r>
            <w:r>
              <w:rPr>
                <w:rFonts w:hint="eastAsia" w:ascii="宋体" w:hAnsi="宋体" w:eastAsia="宋体" w:cs="宋体"/>
                <w:sz w:val="21"/>
                <w:szCs w:val="21"/>
                <w:highlight w:val="none"/>
              </w:rPr>
              <w:t>，≥1</w:t>
            </w:r>
            <w:r>
              <w:rPr>
                <w:rFonts w:hint="eastAsia" w:ascii="宋体" w:hAnsi="宋体" w:eastAsia="宋体" w:cs="宋体"/>
                <w:spacing w:val="-10"/>
                <w:sz w:val="21"/>
                <w:szCs w:val="21"/>
                <w:highlight w:val="none"/>
              </w:rPr>
              <w:t xml:space="preserve"> 个独立管理千兆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网口</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存储</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CPU：≥2</w:t>
            </w:r>
            <w:r>
              <w:rPr>
                <w:rFonts w:hint="eastAsia" w:ascii="宋体" w:hAnsi="宋体" w:eastAsia="宋体" w:cs="宋体"/>
                <w:spacing w:val="-12"/>
                <w:sz w:val="21"/>
                <w:szCs w:val="21"/>
                <w:highlight w:val="none"/>
              </w:rPr>
              <w:t xml:space="preserve"> 颗，内存</w:t>
            </w:r>
            <w:r>
              <w:rPr>
                <w:rFonts w:hint="eastAsia" w:ascii="宋体" w:hAnsi="宋体" w:eastAsia="宋体" w:cs="宋体"/>
                <w:sz w:val="21"/>
                <w:szCs w:val="21"/>
                <w:highlight w:val="none"/>
              </w:rPr>
              <w:t>：≥128GB，硬盘：≥600GB SAS 10K*2</w:t>
            </w:r>
            <w:r>
              <w:rPr>
                <w:rFonts w:hint="eastAsia" w:ascii="宋体" w:hAnsi="宋体" w:eastAsia="宋体" w:cs="宋体"/>
                <w:spacing w:val="-13"/>
                <w:sz w:val="21"/>
                <w:szCs w:val="21"/>
                <w:highlight w:val="none"/>
              </w:rPr>
              <w:t xml:space="preserve"> 块，网卡：提供</w:t>
            </w:r>
            <w:r>
              <w:rPr>
                <w:rFonts w:hint="eastAsia" w:ascii="宋体" w:hAnsi="宋体" w:eastAsia="宋体" w:cs="宋体"/>
                <w:sz w:val="21"/>
                <w:szCs w:val="21"/>
                <w:highlight w:val="none"/>
              </w:rPr>
              <w:t>≥2</w:t>
            </w:r>
            <w:r>
              <w:rPr>
                <w:rFonts w:hint="eastAsia" w:ascii="宋体" w:hAnsi="宋体" w:eastAsia="宋体" w:cs="宋体"/>
                <w:spacing w:val="-10"/>
                <w:sz w:val="21"/>
                <w:szCs w:val="21"/>
                <w:highlight w:val="none"/>
              </w:rPr>
              <w:t xml:space="preserve"> 个千兆网口</w:t>
            </w:r>
            <w:r>
              <w:rPr>
                <w:rFonts w:hint="eastAsia" w:ascii="宋体" w:hAnsi="宋体" w:eastAsia="宋体" w:cs="宋体"/>
                <w:sz w:val="21"/>
                <w:szCs w:val="21"/>
                <w:highlight w:val="none"/>
              </w:rPr>
              <w:t>，≥1</w:t>
            </w:r>
            <w:r>
              <w:rPr>
                <w:rFonts w:hint="eastAsia" w:ascii="宋体" w:hAnsi="宋体" w:eastAsia="宋体" w:cs="宋体"/>
                <w:spacing w:val="-10"/>
                <w:sz w:val="21"/>
                <w:szCs w:val="21"/>
                <w:highlight w:val="none"/>
              </w:rPr>
              <w:t xml:space="preserve"> 个独立管理千兆</w:t>
            </w:r>
            <w:r>
              <w:rPr>
                <w:rFonts w:hint="eastAsia" w:ascii="宋体" w:hAnsi="宋体" w:eastAsia="宋体" w:cs="宋体"/>
                <w:sz w:val="21"/>
                <w:szCs w:val="21"/>
                <w:highlight w:val="none"/>
              </w:rPr>
              <w:t>网口</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控制器数量：≥2，配置：≥8</w:t>
            </w:r>
            <w:r>
              <w:rPr>
                <w:rFonts w:hint="eastAsia" w:ascii="宋体" w:hAnsi="宋体" w:eastAsia="宋体" w:cs="宋体"/>
                <w:spacing w:val="-36"/>
                <w:sz w:val="21"/>
                <w:szCs w:val="21"/>
                <w:highlight w:val="none"/>
              </w:rPr>
              <w:t xml:space="preserve"> 个 </w:t>
            </w:r>
            <w:r>
              <w:rPr>
                <w:rFonts w:hint="eastAsia" w:ascii="宋体" w:hAnsi="宋体" w:eastAsia="宋体" w:cs="宋体"/>
                <w:sz w:val="21"/>
                <w:szCs w:val="21"/>
                <w:highlight w:val="none"/>
              </w:rPr>
              <w:t>1Gb iSCSI+4</w:t>
            </w:r>
            <w:r>
              <w:rPr>
                <w:rFonts w:hint="eastAsia" w:ascii="宋体" w:hAnsi="宋体" w:eastAsia="宋体" w:cs="宋体"/>
                <w:spacing w:val="-36"/>
                <w:sz w:val="21"/>
                <w:szCs w:val="21"/>
                <w:highlight w:val="none"/>
              </w:rPr>
              <w:t xml:space="preserve"> 个 </w:t>
            </w:r>
            <w:r>
              <w:rPr>
                <w:rFonts w:hint="eastAsia" w:ascii="宋体" w:hAnsi="宋体" w:eastAsia="宋体" w:cs="宋体"/>
                <w:sz w:val="21"/>
                <w:szCs w:val="21"/>
                <w:highlight w:val="none"/>
              </w:rPr>
              <w:t>16GB FC</w:t>
            </w:r>
            <w:r>
              <w:rPr>
                <w:rFonts w:hint="eastAsia" w:ascii="宋体" w:hAnsi="宋体" w:eastAsia="宋体" w:cs="宋体"/>
                <w:spacing w:val="-10"/>
                <w:sz w:val="21"/>
                <w:szCs w:val="21"/>
                <w:highlight w:val="none"/>
              </w:rPr>
              <w:t xml:space="preserve"> 主机接口，系统缓存：</w:t>
            </w:r>
            <w:r>
              <w:rPr>
                <w:rFonts w:hint="eastAsia" w:ascii="宋体" w:hAnsi="宋体" w:eastAsia="宋体" w:cs="宋体"/>
                <w:spacing w:val="-4"/>
                <w:sz w:val="21"/>
                <w:szCs w:val="21"/>
                <w:highlight w:val="none"/>
              </w:rPr>
              <w:t>≥32GB，</w:t>
            </w:r>
            <w:r>
              <w:rPr>
                <w:rFonts w:hint="eastAsia" w:ascii="宋体" w:hAnsi="宋体" w:eastAsia="宋体" w:cs="宋体"/>
                <w:spacing w:val="-10"/>
                <w:sz w:val="21"/>
                <w:szCs w:val="21"/>
                <w:highlight w:val="none"/>
              </w:rPr>
              <w:t>配置：</w:t>
            </w:r>
            <w:r>
              <w:rPr>
                <w:rFonts w:hint="eastAsia" w:ascii="宋体" w:hAnsi="宋体" w:eastAsia="宋体" w:cs="宋体"/>
                <w:spacing w:val="-6"/>
                <w:sz w:val="21"/>
                <w:szCs w:val="21"/>
                <w:highlight w:val="none"/>
              </w:rPr>
              <w:t>≥10</w:t>
            </w:r>
            <w:r>
              <w:rPr>
                <w:rFonts w:hint="eastAsia" w:ascii="宋体" w:hAnsi="宋体" w:eastAsia="宋体" w:cs="宋体"/>
                <w:spacing w:val="-35"/>
                <w:sz w:val="21"/>
                <w:szCs w:val="21"/>
                <w:highlight w:val="none"/>
              </w:rPr>
              <w:t xml:space="preserve"> 块 </w:t>
            </w:r>
            <w:r>
              <w:rPr>
                <w:rFonts w:hint="eastAsia" w:ascii="宋体" w:hAnsi="宋体" w:eastAsia="宋体" w:cs="宋体"/>
                <w:sz w:val="21"/>
                <w:szCs w:val="21"/>
                <w:highlight w:val="none"/>
              </w:rPr>
              <w:t>10TBSAS</w:t>
            </w:r>
            <w:r>
              <w:rPr>
                <w:rFonts w:hint="eastAsia" w:ascii="宋体" w:hAnsi="宋体" w:eastAsia="宋体" w:cs="宋体"/>
                <w:spacing w:val="-33"/>
                <w:sz w:val="21"/>
                <w:szCs w:val="21"/>
                <w:highlight w:val="none"/>
              </w:rPr>
              <w:t xml:space="preserve"> 硬</w:t>
            </w:r>
            <w:r>
              <w:rPr>
                <w:rFonts w:hint="eastAsia" w:ascii="宋体" w:hAnsi="宋体" w:eastAsia="宋体" w:cs="宋体"/>
                <w:sz w:val="21"/>
                <w:szCs w:val="21"/>
                <w:highlight w:val="none"/>
              </w:rPr>
              <w:t>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硬盘扩展：最大可扩展支持硬盘数≥300 块</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cs="宋体"/>
                <w:sz w:val="21"/>
                <w:szCs w:val="21"/>
                <w:highlight w:val="none"/>
                <w:lang w:eastAsia="zh-CN"/>
              </w:rPr>
              <w:t>光纤</w:t>
            </w:r>
            <w:r>
              <w:rPr>
                <w:rFonts w:hint="eastAsia" w:ascii="宋体" w:hAnsi="宋体" w:eastAsia="宋体" w:cs="宋体"/>
                <w:sz w:val="21"/>
                <w:szCs w:val="21"/>
                <w:highlight w:val="none"/>
              </w:rPr>
              <w:t>交换机</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虚拟化服务器连接光纤交换机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万兆三层交换机，交换容量</w:t>
            </w:r>
            <w:r>
              <w:rPr>
                <w:rFonts w:hint="eastAsia" w:ascii="宋体" w:hAnsi="宋体" w:eastAsia="宋体" w:cs="宋体"/>
                <w:spacing w:val="-9"/>
                <w:sz w:val="21"/>
                <w:szCs w:val="21"/>
                <w:highlight w:val="none"/>
              </w:rPr>
              <w:t>≥23Tbps</w:t>
            </w:r>
            <w:r>
              <w:rPr>
                <w:rFonts w:hint="eastAsia" w:ascii="宋体" w:hAnsi="宋体" w:eastAsia="宋体" w:cs="宋体"/>
                <w:spacing w:val="-3"/>
                <w:sz w:val="21"/>
                <w:szCs w:val="21"/>
                <w:highlight w:val="none"/>
              </w:rPr>
              <w:t>，包转发</w:t>
            </w:r>
            <w:r>
              <w:rPr>
                <w:rFonts w:hint="eastAsia" w:ascii="宋体" w:hAnsi="宋体" w:eastAsia="宋体" w:cs="宋体"/>
                <w:spacing w:val="-7"/>
                <w:sz w:val="21"/>
                <w:szCs w:val="21"/>
                <w:highlight w:val="none"/>
              </w:rPr>
              <w:t>≥360Mpps</w:t>
            </w:r>
          </w:p>
          <w:p>
            <w:pPr>
              <w:pStyle w:val="53"/>
              <w:keepNext w:val="0"/>
              <w:keepLines w:val="0"/>
              <w:pageBreakBefore w:val="0"/>
              <w:widowControl w:val="0"/>
              <w:tabs>
                <w:tab w:val="left" w:pos="1694"/>
              </w:tabs>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w:t>
            </w:r>
            <w:r>
              <w:rPr>
                <w:rFonts w:hint="eastAsia" w:ascii="宋体" w:hAnsi="宋体" w:eastAsia="宋体" w:cs="宋体"/>
                <w:spacing w:val="-53"/>
                <w:sz w:val="21"/>
                <w:szCs w:val="21"/>
                <w:highlight w:val="none"/>
              </w:rPr>
              <w:t xml:space="preserve"> </w:t>
            </w:r>
            <w:r>
              <w:rPr>
                <w:rFonts w:hint="eastAsia" w:ascii="宋体" w:hAnsi="宋体" w:eastAsia="宋体" w:cs="宋体"/>
                <w:sz w:val="21"/>
                <w:szCs w:val="21"/>
                <w:highlight w:val="none"/>
              </w:rPr>
              <w:t>个</w:t>
            </w:r>
            <w:r>
              <w:rPr>
                <w:rFonts w:hint="eastAsia" w:ascii="宋体" w:hAnsi="宋体" w:eastAsia="宋体" w:cs="宋体"/>
                <w:spacing w:val="-53"/>
                <w:sz w:val="21"/>
                <w:szCs w:val="21"/>
                <w:highlight w:val="none"/>
              </w:rPr>
              <w:t xml:space="preserve"> </w:t>
            </w:r>
            <w:r>
              <w:rPr>
                <w:rFonts w:hint="eastAsia" w:ascii="宋体" w:hAnsi="宋体" w:eastAsia="宋体" w:cs="宋体"/>
                <w:sz w:val="21"/>
                <w:szCs w:val="21"/>
                <w:highlight w:val="none"/>
              </w:rPr>
              <w:t>1/10G</w:t>
            </w:r>
            <w:r>
              <w:rPr>
                <w:rFonts w:hint="eastAsia" w:ascii="宋体" w:hAnsi="宋体" w:eastAsia="宋体" w:cs="宋体"/>
                <w:sz w:val="21"/>
                <w:szCs w:val="21"/>
                <w:highlight w:val="none"/>
              </w:rPr>
              <w:tab/>
            </w:r>
            <w:r>
              <w:rPr>
                <w:rFonts w:hint="eastAsia" w:ascii="宋体" w:hAnsi="宋体" w:eastAsia="宋体" w:cs="宋体"/>
                <w:sz w:val="21"/>
                <w:szCs w:val="21"/>
                <w:highlight w:val="none"/>
              </w:rPr>
              <w:t>SFP</w:t>
            </w:r>
            <w:r>
              <w:rPr>
                <w:rFonts w:hint="eastAsia" w:ascii="宋体" w:hAnsi="宋体" w:eastAsia="宋体" w:cs="宋体"/>
                <w:spacing w:val="-53"/>
                <w:sz w:val="21"/>
                <w:szCs w:val="21"/>
                <w:highlight w:val="none"/>
              </w:rPr>
              <w:t xml:space="preserve"> </w:t>
            </w:r>
            <w:r>
              <w:rPr>
                <w:rFonts w:hint="eastAsia" w:ascii="宋体" w:hAnsi="宋体" w:eastAsia="宋体" w:cs="宋体"/>
                <w:sz w:val="21"/>
                <w:szCs w:val="21"/>
                <w:highlight w:val="none"/>
              </w:rPr>
              <w:t>端口</w:t>
            </w:r>
            <w:r>
              <w:rPr>
                <w:rFonts w:hint="eastAsia" w:ascii="宋体" w:hAnsi="宋体" w:eastAsia="宋体" w:cs="宋体"/>
                <w:spacing w:val="-15"/>
                <w:sz w:val="21"/>
                <w:szCs w:val="21"/>
                <w:highlight w:val="none"/>
              </w:rPr>
              <w:t>，≥1</w:t>
            </w:r>
            <w:r>
              <w:rPr>
                <w:rFonts w:hint="eastAsia" w:ascii="宋体" w:hAnsi="宋体" w:eastAsia="宋体" w:cs="宋体"/>
                <w:spacing w:val="-53"/>
                <w:sz w:val="21"/>
                <w:szCs w:val="21"/>
                <w:highlight w:val="none"/>
              </w:rPr>
              <w:t xml:space="preserve"> </w:t>
            </w:r>
            <w:r>
              <w:rPr>
                <w:rFonts w:hint="eastAsia" w:ascii="宋体" w:hAnsi="宋体" w:eastAsia="宋体" w:cs="宋体"/>
                <w:sz w:val="21"/>
                <w:szCs w:val="21"/>
                <w:highlight w:val="none"/>
              </w:rPr>
              <w:t>个管理用以太网口</w:t>
            </w:r>
            <w:r>
              <w:rPr>
                <w:rFonts w:hint="eastAsia" w:ascii="宋体" w:hAnsi="宋体" w:eastAsia="宋体" w:cs="宋体"/>
                <w:spacing w:val="-15"/>
                <w:sz w:val="21"/>
                <w:szCs w:val="21"/>
                <w:highlight w:val="none"/>
              </w:rPr>
              <w:t>，≥1</w:t>
            </w:r>
            <w:r>
              <w:rPr>
                <w:rFonts w:hint="eastAsia" w:ascii="宋体" w:hAnsi="宋体" w:eastAsia="宋体" w:cs="宋体"/>
                <w:spacing w:val="-52"/>
                <w:sz w:val="21"/>
                <w:szCs w:val="21"/>
                <w:highlight w:val="none"/>
              </w:rPr>
              <w:t xml:space="preserve"> </w:t>
            </w:r>
            <w:r>
              <w:rPr>
                <w:rFonts w:hint="eastAsia" w:ascii="宋体" w:hAnsi="宋体" w:eastAsia="宋体" w:cs="宋体"/>
                <w:sz w:val="21"/>
                <w:szCs w:val="21"/>
                <w:highlight w:val="none"/>
              </w:rPr>
              <w:t>个</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USB 口；≥2 个电源</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虚拟化软件</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服务器虚拟化功能，6 个 CPU 授权许可，配置 1 个Vcenter 管理中心。</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UPS</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≥15Kva 机头，≥16 块 12V100Ah 蓄电池</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机柜</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设备安装方孔条≥2.0MM，框架≥1.5MM，其它≥1.2MM</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材料全部采用 SPCC 优质冷轧钢板；承重：≥800KG</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4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KVM 切换器</w:t>
            </w:r>
          </w:p>
        </w:tc>
        <w:tc>
          <w:tcPr>
            <w:tcW w:w="52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 口 17 英寸 KVM 折叠液晶套件</w:t>
            </w:r>
          </w:p>
        </w:tc>
        <w:tc>
          <w:tcPr>
            <w:tcW w:w="6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r>
    </w:tbl>
    <w:p>
      <w:pPr>
        <w:pStyle w:val="10"/>
        <w:rPr>
          <w:rFonts w:hint="eastAsia" w:ascii="宋体" w:hAnsi="宋体" w:eastAsia="宋体" w:cs="宋体"/>
          <w:b/>
          <w:sz w:val="24"/>
          <w:szCs w:val="24"/>
          <w:highlight w:val="none"/>
        </w:rPr>
      </w:pPr>
    </w:p>
    <w:p>
      <w:pPr>
        <w:pStyle w:val="5"/>
        <w:bidi w:val="0"/>
        <w:rPr>
          <w:rFonts w:hint="eastAsia"/>
          <w:highlight w:val="none"/>
        </w:rPr>
      </w:pPr>
      <w:r>
        <w:rPr>
          <w:rFonts w:hint="eastAsia"/>
          <w:highlight w:val="none"/>
        </w:rPr>
        <w:t>③信息安全等级保护</w:t>
      </w:r>
    </w:p>
    <w:p>
      <w:pPr>
        <w:pStyle w:val="10"/>
        <w:spacing w:before="2" w:after="1"/>
        <w:rPr>
          <w:rFonts w:hint="eastAsia" w:ascii="宋体" w:hAnsi="宋体" w:eastAsia="宋体" w:cs="宋体"/>
          <w:sz w:val="24"/>
          <w:szCs w:val="24"/>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813"/>
        <w:gridCol w:w="4884"/>
        <w:gridCol w:w="745"/>
        <w:gridCol w:w="590"/>
        <w:gridCol w:w="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产品名称</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c>
          <w:tcPr>
            <w:tcW w:w="7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5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5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防火墙</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2"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网络层吞吐量</w:t>
            </w:r>
            <w:r>
              <w:rPr>
                <w:rFonts w:hint="eastAsia" w:ascii="宋体" w:hAnsi="宋体" w:eastAsia="宋体" w:cs="宋体"/>
                <w:spacing w:val="-8"/>
                <w:sz w:val="21"/>
                <w:szCs w:val="21"/>
                <w:highlight w:val="none"/>
              </w:rPr>
              <w:t>≥5G</w:t>
            </w:r>
            <w:r>
              <w:rPr>
                <w:rFonts w:hint="eastAsia" w:ascii="宋体" w:hAnsi="宋体" w:eastAsia="宋体" w:cs="宋体"/>
                <w:spacing w:val="-3"/>
                <w:sz w:val="21"/>
                <w:szCs w:val="21"/>
                <w:highlight w:val="none"/>
              </w:rPr>
              <w:t>，并发连接</w:t>
            </w:r>
            <w:r>
              <w:rPr>
                <w:rFonts w:hint="eastAsia" w:ascii="宋体" w:hAnsi="宋体" w:eastAsia="宋体" w:cs="宋体"/>
                <w:sz w:val="21"/>
                <w:szCs w:val="21"/>
                <w:highlight w:val="none"/>
              </w:rPr>
              <w:t>≥200</w:t>
            </w:r>
            <w:r>
              <w:rPr>
                <w:rFonts w:hint="eastAsia" w:ascii="宋体" w:hAnsi="宋体" w:eastAsia="宋体" w:cs="宋体"/>
                <w:spacing w:val="-15"/>
                <w:sz w:val="21"/>
                <w:szCs w:val="21"/>
                <w:highlight w:val="none"/>
              </w:rPr>
              <w:t xml:space="preserve"> 万，每秒新建</w:t>
            </w:r>
            <w:r>
              <w:rPr>
                <w:rFonts w:hint="eastAsia" w:ascii="宋体" w:hAnsi="宋体" w:eastAsia="宋体" w:cs="宋体"/>
                <w:sz w:val="21"/>
                <w:szCs w:val="21"/>
                <w:highlight w:val="none"/>
              </w:rPr>
              <w:t>连接数≥8</w:t>
            </w:r>
            <w:r>
              <w:rPr>
                <w:rFonts w:hint="eastAsia" w:ascii="宋体" w:hAnsi="宋体" w:eastAsia="宋体" w:cs="宋体"/>
                <w:spacing w:val="-13"/>
                <w:sz w:val="21"/>
                <w:szCs w:val="21"/>
                <w:highlight w:val="none"/>
              </w:rPr>
              <w:t xml:space="preserve"> 万；硬件参数：标准 </w:t>
            </w:r>
            <w:r>
              <w:rPr>
                <w:rFonts w:hint="eastAsia" w:ascii="宋体" w:hAnsi="宋体" w:eastAsia="宋体" w:cs="宋体"/>
                <w:sz w:val="21"/>
                <w:szCs w:val="21"/>
                <w:highlight w:val="none"/>
              </w:rPr>
              <w:t>1U</w:t>
            </w:r>
            <w:r>
              <w:rPr>
                <w:rFonts w:hint="eastAsia" w:ascii="宋体" w:hAnsi="宋体" w:eastAsia="宋体" w:cs="宋体"/>
                <w:spacing w:val="-18"/>
                <w:sz w:val="21"/>
                <w:szCs w:val="21"/>
                <w:highlight w:val="none"/>
              </w:rPr>
              <w:t xml:space="preserve"> 机箱</w:t>
            </w:r>
            <w:r>
              <w:rPr>
                <w:rFonts w:hint="eastAsia" w:ascii="宋体" w:hAnsi="宋体" w:eastAsia="宋体" w:cs="宋体"/>
                <w:sz w:val="21"/>
                <w:szCs w:val="21"/>
                <w:highlight w:val="none"/>
              </w:rPr>
              <w:t>，≥1</w:t>
            </w:r>
            <w:r>
              <w:rPr>
                <w:rFonts w:hint="eastAsia" w:ascii="宋体" w:hAnsi="宋体" w:eastAsia="宋体" w:cs="宋体"/>
                <w:spacing w:val="-14"/>
                <w:sz w:val="21"/>
                <w:szCs w:val="21"/>
                <w:highlight w:val="none"/>
              </w:rPr>
              <w:t xml:space="preserve"> 个电源配置≥6</w:t>
            </w:r>
            <w:r>
              <w:rPr>
                <w:rFonts w:hint="eastAsia" w:ascii="宋体" w:hAnsi="宋体" w:eastAsia="宋体" w:cs="宋体"/>
                <w:spacing w:val="-19"/>
                <w:sz w:val="21"/>
                <w:szCs w:val="21"/>
                <w:highlight w:val="none"/>
              </w:rPr>
              <w:t xml:space="preserve"> 个，</w:t>
            </w:r>
            <w:r>
              <w:rPr>
                <w:rFonts w:hint="eastAsia" w:ascii="宋体" w:hAnsi="宋体" w:eastAsia="宋体" w:cs="宋体"/>
                <w:spacing w:val="-3"/>
                <w:sz w:val="21"/>
                <w:szCs w:val="21"/>
                <w:highlight w:val="none"/>
              </w:rPr>
              <w:t>10/100/1000M</w:t>
            </w:r>
            <w:r>
              <w:rPr>
                <w:rFonts w:hint="eastAsia" w:ascii="宋体" w:hAnsi="宋体" w:eastAsia="宋体" w:cs="宋体"/>
                <w:spacing w:val="-10"/>
                <w:sz w:val="21"/>
                <w:szCs w:val="21"/>
                <w:highlight w:val="none"/>
              </w:rPr>
              <w:t xml:space="preserve"> 自适应电口，≥2</w:t>
            </w:r>
            <w:r>
              <w:rPr>
                <w:rFonts w:hint="eastAsia" w:ascii="宋体" w:hAnsi="宋体" w:eastAsia="宋体" w:cs="宋体"/>
                <w:spacing w:val="-35"/>
                <w:sz w:val="21"/>
                <w:szCs w:val="21"/>
                <w:highlight w:val="none"/>
              </w:rPr>
              <w:t xml:space="preserve"> 个 </w:t>
            </w:r>
            <w:r>
              <w:rPr>
                <w:rFonts w:hint="eastAsia" w:ascii="宋体" w:hAnsi="宋体" w:eastAsia="宋体" w:cs="宋体"/>
                <w:sz w:val="21"/>
                <w:szCs w:val="21"/>
                <w:highlight w:val="none"/>
              </w:rPr>
              <w:t>SFP</w:t>
            </w:r>
            <w:r>
              <w:rPr>
                <w:rFonts w:hint="eastAsia" w:ascii="宋体" w:hAnsi="宋体" w:eastAsia="宋体" w:cs="宋体"/>
                <w:spacing w:val="-32"/>
                <w:sz w:val="21"/>
                <w:szCs w:val="21"/>
                <w:highlight w:val="none"/>
              </w:rPr>
              <w:t xml:space="preserve"> 插</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槽， ≥1 个 Console 口。 </w:t>
            </w:r>
          </w:p>
        </w:tc>
        <w:tc>
          <w:tcPr>
            <w:tcW w:w="745"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行为管理</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105"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并发连接数≥15</w:t>
            </w:r>
            <w:r>
              <w:rPr>
                <w:rFonts w:hint="eastAsia" w:ascii="宋体" w:hAnsi="宋体" w:eastAsia="宋体" w:cs="宋体"/>
                <w:spacing w:val="-8"/>
                <w:sz w:val="21"/>
                <w:szCs w:val="21"/>
                <w:highlight w:val="none"/>
              </w:rPr>
              <w:t xml:space="preserve"> 万</w:t>
            </w:r>
            <w:r>
              <w:rPr>
                <w:rFonts w:hint="eastAsia" w:cs="宋体"/>
                <w:spacing w:val="-8"/>
                <w:sz w:val="21"/>
                <w:szCs w:val="21"/>
                <w:highlight w:val="none"/>
                <w:lang w:eastAsia="zh-CN"/>
              </w:rPr>
              <w:t>；</w:t>
            </w:r>
            <w:r>
              <w:rPr>
                <w:rFonts w:hint="eastAsia" w:ascii="宋体" w:hAnsi="宋体" w:eastAsia="宋体" w:cs="宋体"/>
                <w:spacing w:val="-8"/>
                <w:sz w:val="21"/>
                <w:szCs w:val="21"/>
                <w:highlight w:val="none"/>
              </w:rPr>
              <w:t>最大新建连接数</w:t>
            </w:r>
            <w:r>
              <w:rPr>
                <w:rFonts w:hint="eastAsia" w:ascii="宋体" w:hAnsi="宋体" w:eastAsia="宋体" w:cs="宋体"/>
                <w:sz w:val="21"/>
                <w:szCs w:val="21"/>
                <w:highlight w:val="none"/>
              </w:rPr>
              <w:t>≥26000</w:t>
            </w:r>
            <w:r>
              <w:rPr>
                <w:rFonts w:hint="eastAsia" w:ascii="宋体" w:hAnsi="宋体" w:eastAsia="宋体" w:cs="宋体"/>
                <w:spacing w:val="-27"/>
                <w:sz w:val="21"/>
                <w:szCs w:val="21"/>
                <w:highlight w:val="none"/>
              </w:rPr>
              <w:t xml:space="preserve"> 个</w:t>
            </w:r>
            <w:r>
              <w:rPr>
                <w:rFonts w:hint="eastAsia" w:ascii="宋体" w:hAnsi="宋体" w:eastAsia="宋体" w:cs="宋体"/>
                <w:spacing w:val="-18"/>
                <w:sz w:val="21"/>
                <w:szCs w:val="21"/>
                <w:highlight w:val="none"/>
              </w:rPr>
              <w:t xml:space="preserve">/ </w:t>
            </w:r>
            <w:r>
              <w:rPr>
                <w:rFonts w:hint="eastAsia" w:ascii="宋体" w:hAnsi="宋体" w:eastAsia="宋体" w:cs="宋体"/>
                <w:sz w:val="21"/>
                <w:szCs w:val="21"/>
                <w:highlight w:val="none"/>
              </w:rPr>
              <w:t>秒；</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硬件：≥6 个千兆电接口，≥1 个交流电源。 </w:t>
            </w:r>
          </w:p>
        </w:tc>
        <w:tc>
          <w:tcPr>
            <w:tcW w:w="745"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日志审计</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事件综合处理性能≥5000EPS。</w:t>
            </w:r>
          </w:p>
          <w:p>
            <w:pPr>
              <w:pStyle w:val="53"/>
              <w:keepNext w:val="0"/>
              <w:keepLines w:val="0"/>
              <w:pageBreakBefore w:val="0"/>
              <w:widowControl w:val="0"/>
              <w:kinsoku/>
              <w:wordWrap/>
              <w:overflowPunct/>
              <w:topLinePunct w:val="0"/>
              <w:autoSpaceDE/>
              <w:autoSpaceDN/>
              <w:bidi w:val="0"/>
              <w:adjustRightInd/>
              <w:snapToGrid/>
              <w:spacing w:line="240" w:lineRule="auto"/>
              <w:ind w:left="0" w:right="2"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pacing w:val="-26"/>
                <w:sz w:val="21"/>
                <w:szCs w:val="21"/>
                <w:highlight w:val="none"/>
              </w:rPr>
              <w:t xml:space="preserve"> 个千兆电口，</w:t>
            </w:r>
            <w:r>
              <w:rPr>
                <w:rFonts w:hint="eastAsia" w:ascii="宋体" w:hAnsi="宋体" w:eastAsia="宋体" w:cs="宋体"/>
                <w:sz w:val="21"/>
                <w:szCs w:val="21"/>
                <w:highlight w:val="none"/>
              </w:rPr>
              <w:t>≥1</w:t>
            </w:r>
            <w:r>
              <w:rPr>
                <w:rFonts w:hint="eastAsia" w:ascii="宋体" w:hAnsi="宋体" w:eastAsia="宋体" w:cs="宋体"/>
                <w:spacing w:val="-43"/>
                <w:sz w:val="21"/>
                <w:szCs w:val="21"/>
                <w:highlight w:val="none"/>
              </w:rPr>
              <w:t xml:space="preserve"> 个 </w:t>
            </w:r>
            <w:r>
              <w:rPr>
                <w:rFonts w:hint="eastAsia" w:ascii="宋体" w:hAnsi="宋体" w:eastAsia="宋体" w:cs="宋体"/>
                <w:sz w:val="21"/>
                <w:szCs w:val="21"/>
                <w:highlight w:val="none"/>
              </w:rPr>
              <w:t>Console</w:t>
            </w:r>
            <w:r>
              <w:rPr>
                <w:rFonts w:hint="eastAsia" w:ascii="宋体" w:hAnsi="宋体" w:eastAsia="宋体" w:cs="宋体"/>
                <w:spacing w:val="-43"/>
                <w:sz w:val="21"/>
                <w:szCs w:val="21"/>
                <w:highlight w:val="none"/>
              </w:rPr>
              <w:t xml:space="preserve"> 接口，</w:t>
            </w:r>
            <w:r>
              <w:rPr>
                <w:rFonts w:hint="eastAsia" w:ascii="宋体" w:hAnsi="宋体" w:eastAsia="宋体" w:cs="宋体"/>
                <w:sz w:val="21"/>
                <w:szCs w:val="21"/>
                <w:highlight w:val="none"/>
              </w:rPr>
              <w:t>≥1</w:t>
            </w:r>
            <w:r>
              <w:rPr>
                <w:rFonts w:hint="eastAsia" w:ascii="宋体" w:hAnsi="宋体" w:eastAsia="宋体" w:cs="宋体"/>
                <w:spacing w:val="-36"/>
                <w:sz w:val="21"/>
                <w:szCs w:val="21"/>
                <w:highlight w:val="none"/>
              </w:rPr>
              <w:t xml:space="preserve"> 个电源，</w:t>
            </w:r>
            <w:r>
              <w:rPr>
                <w:rFonts w:hint="eastAsia" w:ascii="宋体" w:hAnsi="宋体" w:eastAsia="宋体" w:cs="宋体"/>
                <w:spacing w:val="-4"/>
                <w:sz w:val="21"/>
                <w:szCs w:val="21"/>
                <w:highlight w:val="none"/>
              </w:rPr>
              <w:t>≥2T</w:t>
            </w:r>
            <w:r>
              <w:rPr>
                <w:rFonts w:hint="eastAsia" w:ascii="宋体" w:hAnsi="宋体" w:eastAsia="宋体" w:cs="宋体"/>
                <w:sz w:val="21"/>
                <w:szCs w:val="21"/>
                <w:highlight w:val="none"/>
              </w:rPr>
              <w:t>硬盘。≥50</w:t>
            </w:r>
            <w:r>
              <w:rPr>
                <w:rFonts w:hint="eastAsia" w:ascii="宋体" w:hAnsi="宋体" w:eastAsia="宋体" w:cs="宋体"/>
                <w:spacing w:val="-10"/>
                <w:sz w:val="21"/>
                <w:szCs w:val="21"/>
                <w:highlight w:val="none"/>
              </w:rPr>
              <w:t xml:space="preserve"> 授权节点。</w:t>
            </w:r>
          </w:p>
        </w:tc>
        <w:tc>
          <w:tcPr>
            <w:tcW w:w="745" w:type="dxa"/>
            <w:vAlign w:val="center"/>
          </w:tcPr>
          <w:p>
            <w:pPr>
              <w:pStyle w:val="53"/>
              <w:spacing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before="3" w:line="240" w:lineRule="auto"/>
              <w:jc w:val="center"/>
              <w:rPr>
                <w:rFonts w:hint="eastAsia" w:ascii="宋体" w:hAnsi="宋体" w:eastAsia="宋体" w:cs="宋体"/>
                <w:sz w:val="21"/>
                <w:szCs w:val="21"/>
                <w:highlight w:val="none"/>
              </w:rPr>
            </w:pPr>
          </w:p>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数据库审计</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事件处理≥10000 条/秒，≥200M 审计流量</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 个千兆自适应电口，≥1 个 Console 口。</w:t>
            </w:r>
          </w:p>
        </w:tc>
        <w:tc>
          <w:tcPr>
            <w:tcW w:w="745" w:type="dxa"/>
            <w:vAlign w:val="center"/>
          </w:tcPr>
          <w:p>
            <w:pPr>
              <w:pStyle w:val="53"/>
              <w:spacing w:before="1"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before="1" w:line="240" w:lineRule="auto"/>
              <w:jc w:val="center"/>
              <w:rPr>
                <w:rFonts w:hint="eastAsia" w:ascii="宋体" w:hAnsi="宋体" w:eastAsia="宋体" w:cs="宋体"/>
                <w:sz w:val="21"/>
                <w:szCs w:val="21"/>
                <w:highlight w:val="none"/>
              </w:rPr>
            </w:pPr>
          </w:p>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堡垒机</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 路图形会话或≥100 路字符会话并发</w:t>
            </w:r>
          </w:p>
          <w:p>
            <w:pPr>
              <w:pStyle w:val="53"/>
              <w:keepNext w:val="0"/>
              <w:keepLines w:val="0"/>
              <w:pageBreakBefore w:val="0"/>
              <w:widowControl w:val="0"/>
              <w:kinsoku/>
              <w:wordWrap/>
              <w:overflowPunct/>
              <w:topLinePunct w:val="0"/>
              <w:autoSpaceDE/>
              <w:autoSpaceDN/>
              <w:bidi w:val="0"/>
              <w:adjustRightInd/>
              <w:snapToGrid/>
              <w:spacing w:line="240" w:lineRule="auto"/>
              <w:ind w:left="0" w:right="51"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pacing w:val="-13"/>
                <w:sz w:val="21"/>
                <w:szCs w:val="21"/>
                <w:highlight w:val="none"/>
              </w:rPr>
              <w:t xml:space="preserve"> 个千兆电口</w:t>
            </w:r>
            <w:r>
              <w:rPr>
                <w:rFonts w:hint="eastAsia" w:cs="宋体"/>
                <w:spacing w:val="-13"/>
                <w:sz w:val="21"/>
                <w:szCs w:val="21"/>
                <w:highlight w:val="none"/>
                <w:lang w:eastAsia="zh-CN"/>
              </w:rPr>
              <w:t>，</w:t>
            </w:r>
            <w:r>
              <w:rPr>
                <w:rFonts w:hint="eastAsia" w:ascii="宋体" w:hAnsi="宋体" w:eastAsia="宋体" w:cs="宋体"/>
                <w:spacing w:val="-13"/>
                <w:sz w:val="21"/>
                <w:szCs w:val="21"/>
                <w:highlight w:val="none"/>
              </w:rPr>
              <w:t xml:space="preserve">内置 </w:t>
            </w:r>
            <w:r>
              <w:rPr>
                <w:rFonts w:hint="eastAsia" w:ascii="宋体" w:hAnsi="宋体" w:eastAsia="宋体" w:cs="宋体"/>
                <w:sz w:val="21"/>
                <w:szCs w:val="21"/>
                <w:highlight w:val="none"/>
              </w:rPr>
              <w:t>2TB</w:t>
            </w:r>
            <w:r>
              <w:rPr>
                <w:rFonts w:hint="eastAsia" w:ascii="宋体" w:hAnsi="宋体" w:eastAsia="宋体" w:cs="宋体"/>
                <w:spacing w:val="-18"/>
                <w:sz w:val="21"/>
                <w:szCs w:val="21"/>
                <w:highlight w:val="none"/>
              </w:rPr>
              <w:t xml:space="preserve"> 硬盘</w:t>
            </w:r>
            <w:r>
              <w:rPr>
                <w:rFonts w:hint="eastAsia" w:ascii="宋体" w:hAnsi="宋体" w:eastAsia="宋体" w:cs="宋体"/>
                <w:sz w:val="21"/>
                <w:szCs w:val="21"/>
                <w:highlight w:val="none"/>
              </w:rPr>
              <w:t>，≥1</w:t>
            </w:r>
            <w:r>
              <w:rPr>
                <w:rFonts w:hint="eastAsia" w:ascii="宋体" w:hAnsi="宋体" w:eastAsia="宋体" w:cs="宋体"/>
                <w:spacing w:val="-14"/>
                <w:sz w:val="21"/>
                <w:szCs w:val="21"/>
                <w:highlight w:val="none"/>
              </w:rPr>
              <w:t xml:space="preserve"> 个电源</w:t>
            </w:r>
            <w:r>
              <w:rPr>
                <w:rFonts w:hint="eastAsia" w:ascii="宋体" w:hAnsi="宋体" w:eastAsia="宋体" w:cs="宋体"/>
                <w:sz w:val="21"/>
                <w:szCs w:val="21"/>
                <w:highlight w:val="none"/>
              </w:rPr>
              <w:t>，≥50</w:t>
            </w:r>
            <w:r>
              <w:rPr>
                <w:rFonts w:hint="eastAsia" w:ascii="宋体" w:hAnsi="宋体" w:eastAsia="宋体" w:cs="宋体"/>
                <w:spacing w:val="-34"/>
                <w:sz w:val="21"/>
                <w:szCs w:val="21"/>
                <w:highlight w:val="none"/>
              </w:rPr>
              <w:t xml:space="preserve"> 节</w:t>
            </w:r>
            <w:r>
              <w:rPr>
                <w:rFonts w:hint="eastAsia" w:ascii="宋体" w:hAnsi="宋体" w:eastAsia="宋体" w:cs="宋体"/>
                <w:sz w:val="21"/>
                <w:szCs w:val="21"/>
                <w:highlight w:val="none"/>
              </w:rPr>
              <w:t>点授权</w:t>
            </w:r>
          </w:p>
        </w:tc>
        <w:tc>
          <w:tcPr>
            <w:tcW w:w="745" w:type="dxa"/>
            <w:vAlign w:val="center"/>
          </w:tcPr>
          <w:p>
            <w:pPr>
              <w:pStyle w:val="53"/>
              <w:spacing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before="3" w:line="240" w:lineRule="auto"/>
              <w:jc w:val="center"/>
              <w:rPr>
                <w:rFonts w:hint="eastAsia" w:ascii="宋体" w:hAnsi="宋体" w:eastAsia="宋体" w:cs="宋体"/>
                <w:sz w:val="21"/>
                <w:szCs w:val="21"/>
                <w:highlight w:val="none"/>
              </w:rPr>
            </w:pPr>
          </w:p>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入侵防御</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吞吐量</w:t>
            </w:r>
            <w:r>
              <w:rPr>
                <w:rFonts w:hint="eastAsia" w:ascii="宋体" w:hAnsi="宋体" w:eastAsia="宋体" w:cs="宋体"/>
                <w:sz w:val="21"/>
                <w:szCs w:val="21"/>
                <w:highlight w:val="none"/>
              </w:rPr>
              <w:t>≥1.5G,UPS</w:t>
            </w:r>
            <w:r>
              <w:rPr>
                <w:rFonts w:hint="eastAsia" w:ascii="宋体" w:hAnsi="宋体" w:eastAsia="宋体" w:cs="宋体"/>
                <w:spacing w:val="-14"/>
                <w:sz w:val="21"/>
                <w:szCs w:val="21"/>
                <w:highlight w:val="none"/>
              </w:rPr>
              <w:t xml:space="preserve"> 吞吐量</w:t>
            </w:r>
            <w:r>
              <w:rPr>
                <w:rFonts w:hint="eastAsia" w:ascii="宋体" w:hAnsi="宋体" w:eastAsia="宋体" w:cs="宋体"/>
                <w:sz w:val="21"/>
                <w:szCs w:val="21"/>
                <w:highlight w:val="none"/>
              </w:rPr>
              <w:t>≥600M</w:t>
            </w:r>
            <w:r>
              <w:rPr>
                <w:rFonts w:hint="eastAsia" w:ascii="宋体" w:hAnsi="宋体" w:eastAsia="宋体" w:cs="宋体"/>
                <w:spacing w:val="-105"/>
                <w:sz w:val="21"/>
                <w:szCs w:val="21"/>
                <w:highlight w:val="none"/>
              </w:rPr>
              <w:t>，</w:t>
            </w:r>
            <w:r>
              <w:rPr>
                <w:rFonts w:hint="eastAsia" w:ascii="宋体" w:hAnsi="宋体" w:eastAsia="宋体" w:cs="宋体"/>
                <w:sz w:val="21"/>
                <w:szCs w:val="21"/>
                <w:highlight w:val="none"/>
              </w:rPr>
              <w:t>≥1</w:t>
            </w:r>
            <w:r>
              <w:rPr>
                <w:rFonts w:hint="eastAsia" w:ascii="宋体" w:hAnsi="宋体" w:eastAsia="宋体" w:cs="宋体"/>
                <w:spacing w:val="-30"/>
                <w:sz w:val="21"/>
                <w:szCs w:val="21"/>
                <w:highlight w:val="none"/>
              </w:rPr>
              <w:t xml:space="preserve"> 个电源，≥</w:t>
            </w:r>
            <w:r>
              <w:rPr>
                <w:rFonts w:hint="eastAsia" w:ascii="宋体" w:hAnsi="宋体" w:eastAsia="宋体" w:cs="宋体"/>
                <w:spacing w:val="-5"/>
                <w:sz w:val="21"/>
                <w:szCs w:val="21"/>
                <w:highlight w:val="none"/>
              </w:rPr>
              <w:t>6</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 10/100/1000M 自适应电口。</w:t>
            </w:r>
          </w:p>
        </w:tc>
        <w:tc>
          <w:tcPr>
            <w:tcW w:w="745" w:type="dxa"/>
            <w:vAlign w:val="center"/>
          </w:tcPr>
          <w:p>
            <w:pPr>
              <w:pStyle w:val="53"/>
              <w:spacing w:before="1"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before="1" w:line="240" w:lineRule="auto"/>
              <w:jc w:val="center"/>
              <w:rPr>
                <w:rFonts w:hint="eastAsia" w:ascii="宋体" w:hAnsi="宋体" w:eastAsia="宋体" w:cs="宋体"/>
                <w:sz w:val="21"/>
                <w:szCs w:val="21"/>
                <w:highlight w:val="none"/>
              </w:rPr>
            </w:pPr>
          </w:p>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杀毒软件</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个电源 200 点位 PC 防病毒与桌面管理。</w:t>
            </w:r>
          </w:p>
        </w:tc>
        <w:tc>
          <w:tcPr>
            <w:tcW w:w="745" w:type="dxa"/>
            <w:vAlign w:val="center"/>
          </w:tcPr>
          <w:p>
            <w:pPr>
              <w:pStyle w:val="53"/>
              <w:spacing w:before="165"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90" w:type="dxa"/>
            <w:vAlign w:val="center"/>
          </w:tcPr>
          <w:p>
            <w:pPr>
              <w:pStyle w:val="53"/>
              <w:spacing w:before="177"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基线核查</w:t>
            </w:r>
          </w:p>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（漏洞扫描）</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2"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Web</w:t>
            </w:r>
            <w:r>
              <w:rPr>
                <w:rFonts w:hint="eastAsia" w:ascii="宋体" w:hAnsi="宋体" w:eastAsia="宋体" w:cs="宋体"/>
                <w:spacing w:val="-8"/>
                <w:sz w:val="21"/>
                <w:szCs w:val="21"/>
                <w:highlight w:val="none"/>
              </w:rPr>
              <w:t xml:space="preserve"> 扫描域名无限制</w:t>
            </w:r>
            <w:r>
              <w:rPr>
                <w:rFonts w:hint="eastAsia" w:ascii="宋体" w:hAnsi="宋体" w:eastAsia="宋体" w:cs="宋体"/>
                <w:sz w:val="21"/>
                <w:szCs w:val="21"/>
                <w:highlight w:val="none"/>
              </w:rPr>
              <w:t>，Web</w:t>
            </w:r>
            <w:r>
              <w:rPr>
                <w:rFonts w:hint="eastAsia" w:ascii="宋体" w:hAnsi="宋体" w:eastAsia="宋体" w:cs="宋体"/>
                <w:spacing w:val="-8"/>
                <w:sz w:val="21"/>
                <w:szCs w:val="21"/>
                <w:highlight w:val="none"/>
              </w:rPr>
              <w:t xml:space="preserve"> 扫描任务并发数为</w:t>
            </w:r>
            <w:r>
              <w:rPr>
                <w:rFonts w:hint="eastAsia" w:ascii="宋体" w:hAnsi="宋体" w:eastAsia="宋体" w:cs="宋体"/>
                <w:sz w:val="21"/>
                <w:szCs w:val="21"/>
                <w:highlight w:val="none"/>
              </w:rPr>
              <w:t xml:space="preserve">≥5 </w:t>
            </w:r>
            <w:r>
              <w:rPr>
                <w:rFonts w:hint="eastAsia" w:ascii="宋体" w:hAnsi="宋体" w:eastAsia="宋体" w:cs="宋体"/>
                <w:spacing w:val="-21"/>
                <w:sz w:val="21"/>
                <w:szCs w:val="21"/>
                <w:highlight w:val="none"/>
              </w:rPr>
              <w:t xml:space="preserve">个域名。系统扫描 </w:t>
            </w:r>
            <w:r>
              <w:rPr>
                <w:rFonts w:hint="eastAsia" w:ascii="宋体" w:hAnsi="宋体" w:eastAsia="宋体" w:cs="宋体"/>
                <w:sz w:val="21"/>
                <w:szCs w:val="21"/>
                <w:highlight w:val="none"/>
              </w:rPr>
              <w:t>IP</w:t>
            </w:r>
            <w:r>
              <w:rPr>
                <w:rFonts w:hint="eastAsia" w:ascii="宋体" w:hAnsi="宋体" w:eastAsia="宋体" w:cs="宋体"/>
                <w:spacing w:val="-26"/>
                <w:sz w:val="21"/>
                <w:szCs w:val="21"/>
                <w:highlight w:val="none"/>
              </w:rPr>
              <w:t xml:space="preserve"> 地址</w:t>
            </w:r>
            <w:r>
              <w:rPr>
                <w:rFonts w:hint="eastAsia" w:ascii="宋体" w:hAnsi="宋体" w:eastAsia="宋体" w:cs="宋体"/>
                <w:sz w:val="21"/>
                <w:szCs w:val="21"/>
                <w:highlight w:val="none"/>
              </w:rPr>
              <w:t>≥1020</w:t>
            </w:r>
            <w:r>
              <w:rPr>
                <w:rFonts w:hint="eastAsia" w:ascii="宋体" w:hAnsi="宋体" w:eastAsia="宋体" w:cs="宋体"/>
                <w:spacing w:val="-22"/>
                <w:sz w:val="21"/>
                <w:szCs w:val="21"/>
                <w:highlight w:val="none"/>
              </w:rPr>
              <w:t xml:space="preserve"> 个，系统扫描支持</w:t>
            </w:r>
            <w:r>
              <w:rPr>
                <w:rFonts w:hint="eastAsia" w:ascii="宋体" w:hAnsi="宋体" w:eastAsia="宋体" w:cs="宋体"/>
                <w:spacing w:val="-5"/>
                <w:sz w:val="21"/>
                <w:szCs w:val="21"/>
                <w:highlight w:val="none"/>
              </w:rPr>
              <w:t xml:space="preserve">≥50 </w:t>
            </w:r>
            <w:r>
              <w:rPr>
                <w:rFonts w:hint="eastAsia" w:ascii="宋体" w:hAnsi="宋体" w:eastAsia="宋体" w:cs="宋体"/>
                <w:spacing w:val="-27"/>
                <w:sz w:val="21"/>
                <w:szCs w:val="21"/>
                <w:highlight w:val="none"/>
              </w:rPr>
              <w:t xml:space="preserve">个 </w:t>
            </w:r>
            <w:r>
              <w:rPr>
                <w:rFonts w:hint="eastAsia" w:ascii="宋体" w:hAnsi="宋体" w:eastAsia="宋体" w:cs="宋体"/>
                <w:sz w:val="21"/>
                <w:szCs w:val="21"/>
                <w:highlight w:val="none"/>
              </w:rPr>
              <w:t>IP</w:t>
            </w:r>
            <w:r>
              <w:rPr>
                <w:rFonts w:hint="eastAsia" w:ascii="宋体" w:hAnsi="宋体" w:eastAsia="宋体" w:cs="宋体"/>
                <w:spacing w:val="-8"/>
                <w:sz w:val="21"/>
                <w:szCs w:val="21"/>
                <w:highlight w:val="none"/>
              </w:rPr>
              <w:t xml:space="preserve"> </w:t>
            </w:r>
            <w:r>
              <w:rPr>
                <w:rFonts w:hint="eastAsia" w:cs="宋体"/>
                <w:spacing w:val="-8"/>
                <w:sz w:val="21"/>
                <w:szCs w:val="21"/>
                <w:highlight w:val="none"/>
                <w:lang w:eastAsia="zh-CN"/>
              </w:rPr>
              <w:t>低致病性</w:t>
            </w:r>
            <w:r>
              <w:rPr>
                <w:rFonts w:hint="eastAsia" w:ascii="宋体" w:hAnsi="宋体" w:eastAsia="宋体" w:cs="宋体"/>
                <w:spacing w:val="-8"/>
                <w:sz w:val="21"/>
                <w:szCs w:val="21"/>
                <w:highlight w:val="none"/>
              </w:rPr>
              <w:t>扫描。</w:t>
            </w:r>
            <w:r>
              <w:rPr>
                <w:rFonts w:hint="eastAsia" w:ascii="宋体" w:hAnsi="宋体" w:eastAsia="宋体" w:cs="宋体"/>
                <w:sz w:val="21"/>
                <w:szCs w:val="21"/>
                <w:highlight w:val="none"/>
              </w:rPr>
              <w:t>≥1T</w:t>
            </w:r>
            <w:r>
              <w:rPr>
                <w:rFonts w:hint="eastAsia" w:ascii="宋体" w:hAnsi="宋体" w:eastAsia="宋体" w:cs="宋体"/>
                <w:spacing w:val="-10"/>
                <w:sz w:val="21"/>
                <w:szCs w:val="21"/>
                <w:highlight w:val="none"/>
              </w:rPr>
              <w:t xml:space="preserve"> 硬盘，配置</w:t>
            </w:r>
            <w:r>
              <w:rPr>
                <w:rFonts w:hint="eastAsia" w:ascii="宋体" w:hAnsi="宋体" w:eastAsia="宋体" w:cs="宋体"/>
                <w:sz w:val="21"/>
                <w:szCs w:val="21"/>
                <w:highlight w:val="none"/>
              </w:rPr>
              <w:t>≥6</w:t>
            </w:r>
            <w:r>
              <w:rPr>
                <w:rFonts w:hint="eastAsia" w:ascii="宋体" w:hAnsi="宋体" w:eastAsia="宋体" w:cs="宋体"/>
                <w:spacing w:val="-27"/>
                <w:sz w:val="21"/>
                <w:szCs w:val="21"/>
                <w:highlight w:val="none"/>
              </w:rPr>
              <w:t xml:space="preserve"> 个10/100/1000M</w:t>
            </w:r>
            <w:r>
              <w:rPr>
                <w:rFonts w:hint="eastAsia" w:ascii="宋体" w:hAnsi="宋体" w:eastAsia="宋体" w:cs="宋体"/>
                <w:spacing w:val="-24"/>
                <w:sz w:val="21"/>
                <w:szCs w:val="21"/>
                <w:highlight w:val="none"/>
              </w:rPr>
              <w:t xml:space="preserve"> 自适应电口，</w:t>
            </w:r>
            <w:r>
              <w:rPr>
                <w:rFonts w:hint="eastAsia" w:ascii="宋体" w:hAnsi="宋体" w:eastAsia="宋体" w:cs="宋体"/>
                <w:sz w:val="21"/>
                <w:szCs w:val="21"/>
                <w:highlight w:val="none"/>
              </w:rPr>
              <w:t>≥2</w:t>
            </w:r>
            <w:r>
              <w:rPr>
                <w:rFonts w:hint="eastAsia" w:ascii="宋体" w:hAnsi="宋体" w:eastAsia="宋体" w:cs="宋体"/>
                <w:spacing w:val="-10"/>
                <w:sz w:val="21"/>
                <w:szCs w:val="21"/>
                <w:highlight w:val="none"/>
              </w:rPr>
              <w:t xml:space="preserve"> 个扩展插槽</w:t>
            </w:r>
            <w:r>
              <w:rPr>
                <w:rFonts w:hint="eastAsia" w:cs="宋体"/>
                <w:spacing w:val="-10"/>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pacing w:val="-36"/>
                <w:sz w:val="21"/>
                <w:szCs w:val="21"/>
                <w:highlight w:val="none"/>
              </w:rPr>
              <w:t xml:space="preserve"> 个 </w:t>
            </w:r>
            <w:r>
              <w:rPr>
                <w:rFonts w:hint="eastAsia" w:ascii="宋体" w:hAnsi="宋体" w:eastAsia="宋体" w:cs="宋体"/>
                <w:spacing w:val="-5"/>
                <w:sz w:val="21"/>
                <w:szCs w:val="21"/>
                <w:highlight w:val="none"/>
              </w:rPr>
              <w:t>USB</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口，≥1 个 Console 口，≥1 个电源。</w:t>
            </w:r>
          </w:p>
        </w:tc>
        <w:tc>
          <w:tcPr>
            <w:tcW w:w="745" w:type="dxa"/>
            <w:vAlign w:val="center"/>
          </w:tcPr>
          <w:p>
            <w:pPr>
              <w:pStyle w:val="53"/>
              <w:spacing w:before="149"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安全隔离网</w:t>
            </w:r>
            <w:r>
              <w:rPr>
                <w:rFonts w:hint="eastAsia" w:ascii="宋体" w:hAnsi="宋体" w:eastAsia="宋体" w:cs="宋体"/>
                <w:sz w:val="21"/>
                <w:szCs w:val="21"/>
                <w:highlight w:val="none"/>
                <w:lang w:val="en-US" w:eastAsia="zh-CN"/>
              </w:rPr>
              <w:t>闸</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吞吐量≥200Mbps，≥1 个电源</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内网接口：≥6 个 10/100/1000Base-T 端口，≥1 个</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Console 口，≥2 个 USB 口； </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外网接口：≥6 个 10/100/1000Base-T 端口，≥1 个</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Console 口，≥2 个 USB 口。</w:t>
            </w:r>
          </w:p>
        </w:tc>
        <w:tc>
          <w:tcPr>
            <w:tcW w:w="745" w:type="dxa"/>
            <w:vAlign w:val="center"/>
          </w:tcPr>
          <w:p>
            <w:pPr>
              <w:pStyle w:val="53"/>
              <w:spacing w:before="149"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90" w:type="dxa"/>
            <w:vAlign w:val="center"/>
          </w:tcPr>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1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55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配套服务</w:t>
            </w:r>
          </w:p>
        </w:tc>
        <w:tc>
          <w:tcPr>
            <w:tcW w:w="4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1、完成医院信息系统安全等级测评工作，提交每个信息系统的安全等级测评报告，依据测评报告编制整改建议方案，并协助完成整改工作。</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2、完成医院信息系统定级备案工作，协助取得定级备案证明。</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3、为医院提供一年的信息安全咨询服务，提供信</w:t>
            </w:r>
          </w:p>
          <w:p>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息安全培训至少两次。</w:t>
            </w:r>
          </w:p>
        </w:tc>
        <w:tc>
          <w:tcPr>
            <w:tcW w:w="745" w:type="dxa"/>
            <w:vAlign w:val="center"/>
          </w:tcPr>
          <w:p>
            <w:pPr>
              <w:pStyle w:val="53"/>
              <w:spacing w:line="240" w:lineRule="auto"/>
              <w:ind w:right="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90" w:type="dxa"/>
            <w:vAlign w:val="center"/>
          </w:tcPr>
          <w:p>
            <w:pPr>
              <w:pStyle w:val="53"/>
              <w:spacing w:line="240" w:lineRule="auto"/>
              <w:ind w:right="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1" w:type="dxa"/>
            <w:vAlign w:val="top"/>
          </w:tcPr>
          <w:p>
            <w:pPr>
              <w:pStyle w:val="53"/>
              <w:spacing w:line="240" w:lineRule="auto"/>
              <w:rPr>
                <w:rFonts w:hint="eastAsia" w:ascii="宋体" w:hAnsi="宋体" w:eastAsia="宋体" w:cs="宋体"/>
                <w:sz w:val="21"/>
                <w:szCs w:val="21"/>
                <w:highlight w:val="none"/>
              </w:rPr>
            </w:pPr>
          </w:p>
        </w:tc>
      </w:tr>
    </w:tbl>
    <w:p>
      <w:pPr>
        <w:pStyle w:val="10"/>
        <w:rPr>
          <w:rFonts w:hint="eastAsia" w:ascii="宋体" w:hAnsi="宋体" w:eastAsia="宋体" w:cs="宋体"/>
          <w:sz w:val="24"/>
          <w:szCs w:val="24"/>
          <w:highlight w:val="none"/>
        </w:rPr>
      </w:pPr>
    </w:p>
    <w:p>
      <w:pPr>
        <w:pStyle w:val="10"/>
        <w:spacing w:before="6"/>
        <w:rPr>
          <w:rFonts w:hint="eastAsia" w:ascii="宋体" w:hAnsi="宋体" w:eastAsia="宋体" w:cs="宋体"/>
          <w:sz w:val="24"/>
          <w:szCs w:val="24"/>
          <w:highlight w:val="none"/>
        </w:rPr>
      </w:pPr>
    </w:p>
    <w:p>
      <w:pPr>
        <w:pStyle w:val="5"/>
        <w:bidi w:val="0"/>
        <w:rPr>
          <w:rFonts w:hint="eastAsia"/>
          <w:highlight w:val="none"/>
        </w:rPr>
      </w:pPr>
      <w:r>
        <w:rPr>
          <w:rFonts w:hint="eastAsia"/>
          <w:highlight w:val="none"/>
        </w:rPr>
        <w:t>④软件配套硬件</w:t>
      </w:r>
    </w:p>
    <w:p>
      <w:pPr>
        <w:pStyle w:val="10"/>
        <w:spacing w:before="2"/>
        <w:rPr>
          <w:rFonts w:hint="eastAsia" w:ascii="宋体" w:hAnsi="宋体" w:eastAsia="宋体" w:cs="宋体"/>
          <w:sz w:val="24"/>
          <w:szCs w:val="24"/>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028"/>
        <w:gridCol w:w="4544"/>
        <w:gridCol w:w="806"/>
        <w:gridCol w:w="509"/>
        <w:gridCol w:w="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0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产品名称</w:t>
            </w:r>
          </w:p>
        </w:tc>
        <w:tc>
          <w:tcPr>
            <w:tcW w:w="45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28" w:type="dxa"/>
            <w:vAlign w:val="center"/>
          </w:tcPr>
          <w:p>
            <w:pPr>
              <w:pStyle w:val="53"/>
              <w:spacing w:before="1"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电脑</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CPU≥I5-7400，内存≥4G，硬盘 ≥1T，显示器</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≥19.5 寸</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3" w:line="240" w:lineRule="auto"/>
              <w:jc w:val="center"/>
              <w:rPr>
                <w:rFonts w:hint="eastAsia" w:ascii="宋体" w:hAnsi="宋体" w:eastAsia="宋体" w:cs="宋体"/>
                <w:sz w:val="21"/>
                <w:szCs w:val="21"/>
                <w:highlight w:val="none"/>
              </w:rPr>
            </w:pPr>
          </w:p>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28"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黑白激光打印机</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最大打印幅面≥A4，最高分辨率</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≥1200×1200dpi，黑白打印速度≥18ppm ，处理器</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≥266MHz，内存≥2MB。</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3" w:line="240" w:lineRule="auto"/>
              <w:jc w:val="center"/>
              <w:rPr>
                <w:rFonts w:hint="eastAsia" w:ascii="宋体" w:hAnsi="宋体" w:eastAsia="宋体" w:cs="宋体"/>
                <w:sz w:val="21"/>
                <w:szCs w:val="21"/>
                <w:highlight w:val="none"/>
              </w:rPr>
            </w:pPr>
          </w:p>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28" w:type="dxa"/>
            <w:vAlign w:val="center"/>
          </w:tcPr>
          <w:p>
            <w:pPr>
              <w:pStyle w:val="53"/>
              <w:spacing w:before="1"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多功能读卡器</w:t>
            </w:r>
          </w:p>
          <w:p>
            <w:pPr>
              <w:pStyle w:val="53"/>
              <w:spacing w:before="43" w:line="240" w:lineRule="auto"/>
              <w:ind w:left="43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 合一）</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2" w:firstLine="42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陕西省社会保障卡、陕西省居民健康卡、医院就</w:t>
            </w:r>
            <w:r>
              <w:rPr>
                <w:rFonts w:hint="eastAsia" w:ascii="宋体" w:hAnsi="宋体" w:eastAsia="宋体" w:cs="宋体"/>
                <w:sz w:val="21"/>
                <w:szCs w:val="21"/>
                <w:highlight w:val="none"/>
              </w:rPr>
              <w:t>诊卡、二代居民身份证信息读取，卡座插拔卡寿命</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 万次，扫码读取（一维码、二维码）功能。</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ind w:right="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扫码平台</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扫码读取（一维码、二维码）功能，电源≥5V</w:t>
            </w:r>
          </w:p>
        </w:tc>
        <w:tc>
          <w:tcPr>
            <w:tcW w:w="806" w:type="dxa"/>
            <w:vAlign w:val="center"/>
          </w:tcPr>
          <w:p>
            <w:pPr>
              <w:pStyle w:val="53"/>
              <w:keepNext w:val="0"/>
              <w:keepLines w:val="0"/>
              <w:pageBreakBefore w:val="0"/>
              <w:widowControl w:val="0"/>
              <w:tabs>
                <w:tab w:val="left" w:pos="434"/>
              </w:tabs>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line="240" w:lineRule="auto"/>
              <w:ind w:right="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028"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热敏打印机</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分辨率≥203×203DPI</w:t>
            </w:r>
          </w:p>
          <w:p>
            <w:pPr>
              <w:pStyle w:val="53"/>
              <w:keepNext w:val="0"/>
              <w:keepLines w:val="0"/>
              <w:pageBreakBefore w:val="0"/>
              <w:widowControl w:val="0"/>
              <w:kinsoku/>
              <w:wordWrap/>
              <w:overflowPunct/>
              <w:topLinePunct w:val="0"/>
              <w:autoSpaceDE/>
              <w:autoSpaceDN/>
              <w:bidi w:val="0"/>
              <w:adjustRightInd/>
              <w:snapToGrid/>
              <w:spacing w:line="240" w:lineRule="auto"/>
              <w:ind w:left="0" w:right="288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打印速度≥160mm/s 打印宽度≥80mm</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line="240" w:lineRule="auto"/>
              <w:ind w:right="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028" w:type="dxa"/>
            <w:vAlign w:val="center"/>
          </w:tcPr>
          <w:p>
            <w:pPr>
              <w:pStyle w:val="53"/>
              <w:spacing w:before="1"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条码打印机</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打印速度</w:t>
            </w:r>
            <w:r>
              <w:rPr>
                <w:rFonts w:hint="eastAsia" w:ascii="宋体" w:hAnsi="宋体" w:eastAsia="宋体" w:cs="宋体"/>
                <w:spacing w:val="-4"/>
                <w:sz w:val="21"/>
                <w:szCs w:val="21"/>
                <w:highlight w:val="none"/>
              </w:rPr>
              <w:t>≥102mm/s</w:t>
            </w:r>
            <w:r>
              <w:rPr>
                <w:rFonts w:hint="eastAsia" w:ascii="宋体" w:hAnsi="宋体" w:eastAsia="宋体" w:cs="宋体"/>
                <w:spacing w:val="-2"/>
                <w:sz w:val="21"/>
                <w:szCs w:val="21"/>
                <w:highlight w:val="none"/>
              </w:rPr>
              <w:t>，最大打印宽度</w:t>
            </w:r>
            <w:r>
              <w:rPr>
                <w:rFonts w:hint="eastAsia" w:ascii="宋体" w:hAnsi="宋体" w:eastAsia="宋体" w:cs="宋体"/>
                <w:spacing w:val="-5"/>
                <w:sz w:val="21"/>
                <w:szCs w:val="21"/>
                <w:highlight w:val="none"/>
              </w:rPr>
              <w:t>≥104mm</w:t>
            </w:r>
            <w:r>
              <w:rPr>
                <w:rFonts w:hint="eastAsia" w:ascii="宋体" w:hAnsi="宋体" w:eastAsia="宋体" w:cs="宋体"/>
                <w:spacing w:val="-10"/>
                <w:sz w:val="21"/>
                <w:szCs w:val="21"/>
                <w:highlight w:val="none"/>
              </w:rPr>
              <w:t>，最</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大打印长度≥991mm，存储≥8MB</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line="240" w:lineRule="auto"/>
              <w:ind w:right="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028"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自助报告打印机</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 英寸液晶竖置显示屏（支持红外触摸屏）</w:t>
            </w:r>
          </w:p>
          <w:p>
            <w:pPr>
              <w:pStyle w:val="53"/>
              <w:keepNext w:val="0"/>
              <w:keepLines w:val="0"/>
              <w:pageBreakBefore w:val="0"/>
              <w:widowControl w:val="0"/>
              <w:kinsoku/>
              <w:wordWrap/>
              <w:overflowPunct/>
              <w:topLinePunct w:val="0"/>
              <w:autoSpaceDE/>
              <w:autoSpaceDN/>
              <w:bidi w:val="0"/>
              <w:adjustRightInd/>
              <w:snapToGrid/>
              <w:spacing w:line="240" w:lineRule="auto"/>
              <w:ind w:left="0" w:right="3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 主频≥1.8GHz，内存≥2G，硬盘≥32G，内置</w:t>
            </w:r>
            <w:r>
              <w:rPr>
                <w:rFonts w:hint="eastAsia" w:cs="宋体"/>
                <w:sz w:val="21"/>
                <w:szCs w:val="21"/>
                <w:highlight w:val="none"/>
                <w:lang w:eastAsia="zh-CN"/>
              </w:rPr>
              <w:t>二代身份证</w:t>
            </w:r>
            <w:r>
              <w:rPr>
                <w:rFonts w:hint="eastAsia" w:ascii="宋体" w:hAnsi="宋体" w:eastAsia="宋体" w:cs="宋体"/>
                <w:sz w:val="21"/>
                <w:szCs w:val="21"/>
                <w:highlight w:val="none"/>
              </w:rPr>
              <w:t>读卡器</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line="240" w:lineRule="auto"/>
              <w:ind w:right="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028"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影像采集卡</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2" w:firstLine="42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用于超声信号的采集：要求采集信号清晰、精度</w:t>
            </w:r>
            <w:r>
              <w:rPr>
                <w:rFonts w:hint="eastAsia" w:ascii="宋体" w:hAnsi="宋体" w:eastAsia="宋体" w:cs="宋体"/>
                <w:spacing w:val="-35"/>
                <w:sz w:val="21"/>
                <w:szCs w:val="21"/>
                <w:highlight w:val="none"/>
              </w:rPr>
              <w:t xml:space="preserve">高，适用于 </w:t>
            </w:r>
            <w:r>
              <w:rPr>
                <w:rFonts w:hint="eastAsia" w:ascii="宋体" w:hAnsi="宋体" w:eastAsia="宋体" w:cs="宋体"/>
                <w:sz w:val="21"/>
                <w:szCs w:val="21"/>
                <w:highlight w:val="none"/>
              </w:rPr>
              <w:t>PCIE</w:t>
            </w:r>
            <w:r>
              <w:rPr>
                <w:rFonts w:hint="eastAsia" w:ascii="宋体" w:hAnsi="宋体" w:eastAsia="宋体" w:cs="宋体"/>
                <w:spacing w:val="-44"/>
                <w:sz w:val="21"/>
                <w:szCs w:val="21"/>
                <w:highlight w:val="none"/>
              </w:rPr>
              <w:t xml:space="preserve"> 插槽，支持 </w:t>
            </w:r>
            <w:r>
              <w:rPr>
                <w:rFonts w:hint="eastAsia" w:ascii="宋体" w:hAnsi="宋体" w:eastAsia="宋体" w:cs="宋体"/>
                <w:sz w:val="21"/>
                <w:szCs w:val="21"/>
                <w:highlight w:val="none"/>
              </w:rPr>
              <w:t>VGA</w:t>
            </w:r>
            <w:r>
              <w:rPr>
                <w:rFonts w:hint="eastAsia" w:ascii="宋体" w:hAnsi="宋体" w:eastAsia="宋体" w:cs="宋体"/>
                <w:spacing w:val="-148"/>
                <w:sz w:val="21"/>
                <w:szCs w:val="21"/>
                <w:highlight w:val="none"/>
              </w:rPr>
              <w:t>、</w:t>
            </w:r>
            <w:r>
              <w:rPr>
                <w:rFonts w:hint="eastAsia" w:ascii="宋体" w:hAnsi="宋体" w:eastAsia="宋体" w:cs="宋体"/>
                <w:sz w:val="21"/>
                <w:szCs w:val="21"/>
                <w:highlight w:val="none"/>
              </w:rPr>
              <w:t>DVI</w:t>
            </w:r>
            <w:r>
              <w:rPr>
                <w:rFonts w:hint="eastAsia" w:ascii="宋体" w:hAnsi="宋体" w:eastAsia="宋体" w:cs="宋体"/>
                <w:spacing w:val="-148"/>
                <w:sz w:val="21"/>
                <w:szCs w:val="21"/>
                <w:highlight w:val="none"/>
              </w:rPr>
              <w:t>、</w:t>
            </w:r>
            <w:r>
              <w:rPr>
                <w:rFonts w:hint="eastAsia" w:ascii="宋体" w:hAnsi="宋体" w:eastAsia="宋体" w:cs="宋体"/>
                <w:sz w:val="21"/>
                <w:szCs w:val="21"/>
                <w:highlight w:val="none"/>
              </w:rPr>
              <w:t>HDMI</w:t>
            </w:r>
            <w:r>
              <w:rPr>
                <w:rFonts w:hint="eastAsia" w:ascii="宋体" w:hAnsi="宋体" w:eastAsia="宋体" w:cs="宋体"/>
                <w:spacing w:val="-148"/>
                <w:sz w:val="21"/>
                <w:szCs w:val="21"/>
                <w:highlight w:val="none"/>
              </w:rPr>
              <w:t>、</w:t>
            </w:r>
            <w:r>
              <w:rPr>
                <w:rFonts w:hint="eastAsia" w:ascii="宋体" w:hAnsi="宋体" w:eastAsia="宋体" w:cs="宋体"/>
                <w:sz w:val="21"/>
                <w:szCs w:val="21"/>
                <w:highlight w:val="none"/>
              </w:rPr>
              <w:t xml:space="preserve">DIRECT </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SHOW 接口，附带采集手柄</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ind w:right="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脚踏</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采图脚踏</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候诊区大屏</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 英寸高清液晶电视机，含安装支架</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 w:line="240" w:lineRule="auto"/>
              <w:jc w:val="center"/>
              <w:rPr>
                <w:rFonts w:hint="eastAsia" w:ascii="宋体" w:hAnsi="宋体" w:eastAsia="宋体" w:cs="宋体"/>
                <w:sz w:val="21"/>
                <w:szCs w:val="21"/>
                <w:highlight w:val="none"/>
              </w:rPr>
            </w:pPr>
          </w:p>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028" w:type="dxa"/>
            <w:vAlign w:val="center"/>
          </w:tcPr>
          <w:p>
            <w:pPr>
              <w:pStyle w:val="53"/>
              <w:spacing w:before="38"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微型电脑迷你主机</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w:t>
            </w:r>
            <w:r>
              <w:rPr>
                <w:rFonts w:hint="eastAsia" w:ascii="宋体" w:hAnsi="宋体" w:eastAsia="宋体" w:cs="宋体"/>
                <w:spacing w:val="-17"/>
                <w:sz w:val="21"/>
                <w:szCs w:val="21"/>
                <w:highlight w:val="none"/>
              </w:rPr>
              <w:t xml:space="preserve"> 主频</w:t>
            </w:r>
            <w:r>
              <w:rPr>
                <w:rFonts w:hint="eastAsia" w:ascii="宋体" w:hAnsi="宋体" w:eastAsia="宋体" w:cs="宋体"/>
                <w:spacing w:val="-3"/>
                <w:sz w:val="21"/>
                <w:szCs w:val="21"/>
                <w:highlight w:val="none"/>
              </w:rPr>
              <w:t>≥1.6GHz</w:t>
            </w:r>
            <w:r>
              <w:rPr>
                <w:rFonts w:hint="eastAsia" w:ascii="宋体" w:hAnsi="宋体" w:eastAsia="宋体" w:cs="宋体"/>
                <w:spacing w:val="-2"/>
                <w:sz w:val="21"/>
                <w:szCs w:val="21"/>
                <w:highlight w:val="none"/>
              </w:rPr>
              <w:t>，内存</w:t>
            </w:r>
            <w:r>
              <w:rPr>
                <w:rFonts w:hint="eastAsia" w:ascii="宋体" w:hAnsi="宋体" w:eastAsia="宋体" w:cs="宋体"/>
                <w:spacing w:val="-5"/>
                <w:sz w:val="21"/>
                <w:szCs w:val="21"/>
                <w:highlight w:val="none"/>
              </w:rPr>
              <w:t>≥2G</w:t>
            </w:r>
            <w:r>
              <w:rPr>
                <w:rFonts w:hint="eastAsia" w:ascii="宋体" w:hAnsi="宋体" w:eastAsia="宋体" w:cs="宋体"/>
                <w:spacing w:val="-2"/>
                <w:sz w:val="21"/>
                <w:szCs w:val="21"/>
                <w:highlight w:val="none"/>
              </w:rPr>
              <w:t>，硬盘</w:t>
            </w:r>
            <w:r>
              <w:rPr>
                <w:rFonts w:hint="eastAsia" w:ascii="宋体" w:hAnsi="宋体" w:eastAsia="宋体" w:cs="宋体"/>
                <w:spacing w:val="-4"/>
                <w:sz w:val="21"/>
                <w:szCs w:val="21"/>
                <w:highlight w:val="none"/>
              </w:rPr>
              <w:t>≥128G</w:t>
            </w:r>
            <w:r>
              <w:rPr>
                <w:rFonts w:hint="eastAsia" w:ascii="宋体" w:hAnsi="宋体" w:eastAsia="宋体" w:cs="宋体"/>
                <w:spacing w:val="-2"/>
                <w:sz w:val="21"/>
                <w:szCs w:val="21"/>
                <w:highlight w:val="none"/>
              </w:rPr>
              <w:t>，含</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HDMI 显卡</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显卡</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双口高清显卡</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块</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028" w:type="dxa"/>
            <w:vAlign w:val="center"/>
          </w:tcPr>
          <w:p>
            <w:pPr>
              <w:pStyle w:val="53"/>
              <w:spacing w:before="1"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门头屏</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≥21.5</w:t>
            </w:r>
            <w:r>
              <w:rPr>
                <w:rFonts w:hint="eastAsia" w:ascii="宋体" w:hAnsi="宋体" w:eastAsia="宋体" w:cs="宋体"/>
                <w:spacing w:val="-33"/>
                <w:sz w:val="21"/>
                <w:szCs w:val="21"/>
                <w:highlight w:val="none"/>
              </w:rPr>
              <w:t xml:space="preserve"> 英寸 </w:t>
            </w:r>
            <w:r>
              <w:rPr>
                <w:rFonts w:hint="eastAsia" w:ascii="宋体" w:hAnsi="宋体" w:eastAsia="宋体" w:cs="宋体"/>
                <w:sz w:val="21"/>
                <w:szCs w:val="21"/>
                <w:highlight w:val="none"/>
              </w:rPr>
              <w:t>LED</w:t>
            </w:r>
            <w:r>
              <w:rPr>
                <w:rFonts w:hint="eastAsia" w:ascii="宋体" w:hAnsi="宋体" w:eastAsia="宋体" w:cs="宋体"/>
                <w:spacing w:val="-26"/>
                <w:sz w:val="21"/>
                <w:szCs w:val="21"/>
                <w:highlight w:val="none"/>
              </w:rPr>
              <w:t xml:space="preserve"> 高清一体机，</w:t>
            </w:r>
            <w:r>
              <w:rPr>
                <w:rFonts w:hint="eastAsia" w:ascii="宋体" w:hAnsi="宋体" w:eastAsia="宋体" w:cs="宋体"/>
                <w:sz w:val="21"/>
                <w:szCs w:val="21"/>
                <w:highlight w:val="none"/>
              </w:rPr>
              <w:t>CPU</w:t>
            </w:r>
            <w:r>
              <w:rPr>
                <w:rFonts w:hint="eastAsia" w:ascii="宋体" w:hAnsi="宋体" w:eastAsia="宋体" w:cs="宋体"/>
                <w:spacing w:val="-26"/>
                <w:sz w:val="21"/>
                <w:szCs w:val="21"/>
                <w:highlight w:val="none"/>
              </w:rPr>
              <w:t xml:space="preserve"> 主频</w:t>
            </w:r>
            <w:r>
              <w:rPr>
                <w:rFonts w:hint="eastAsia" w:ascii="宋体" w:hAnsi="宋体" w:eastAsia="宋体" w:cs="宋体"/>
                <w:sz w:val="21"/>
                <w:szCs w:val="21"/>
                <w:highlight w:val="none"/>
              </w:rPr>
              <w:t>≥1.5GHz</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内存≥2G，含安装支架</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功放</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扩音功放，额定功率≥100W</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喇叭</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吸顶/壁挂，额定功率≥3W</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音频线</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3.5mm 转双莲花音频线，长度≥1.5 米</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653" w:type="dxa"/>
            <w:vAlign w:val="top"/>
          </w:tcPr>
          <w:p>
            <w:pPr>
              <w:pStyle w:val="53"/>
              <w:spacing w:line="240" w:lineRule="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1" w:type="dxa"/>
            <w:vAlign w:val="center"/>
          </w:tcPr>
          <w:p>
            <w:pPr>
              <w:pStyle w:val="53"/>
              <w:spacing w:before="177"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2028" w:type="dxa"/>
            <w:vAlign w:val="center"/>
          </w:tcPr>
          <w:p>
            <w:pPr>
              <w:pStyle w:val="53"/>
              <w:spacing w:before="165"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安装服务</w:t>
            </w:r>
          </w:p>
        </w:tc>
        <w:tc>
          <w:tcPr>
            <w:tcW w:w="454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上述设备安装、调试服务（含材料）</w:t>
            </w:r>
          </w:p>
        </w:tc>
        <w:tc>
          <w:tcPr>
            <w:tcW w:w="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w:t>
            </w:r>
          </w:p>
        </w:tc>
        <w:tc>
          <w:tcPr>
            <w:tcW w:w="5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53" w:type="dxa"/>
            <w:vAlign w:val="top"/>
          </w:tcPr>
          <w:p>
            <w:pPr>
              <w:pStyle w:val="53"/>
              <w:spacing w:line="240" w:lineRule="auto"/>
              <w:rPr>
                <w:rFonts w:hint="eastAsia" w:ascii="宋体" w:hAnsi="宋体" w:eastAsia="宋体" w:cs="宋体"/>
                <w:sz w:val="21"/>
                <w:szCs w:val="21"/>
                <w:highlight w:val="none"/>
              </w:rPr>
            </w:pPr>
          </w:p>
        </w:tc>
      </w:tr>
    </w:tbl>
    <w:p>
      <w:pPr>
        <w:pStyle w:val="10"/>
        <w:rPr>
          <w:rFonts w:hint="eastAsia" w:ascii="宋体" w:hAnsi="宋体" w:eastAsia="宋体" w:cs="宋体"/>
          <w:sz w:val="24"/>
          <w:szCs w:val="24"/>
          <w:highlight w:val="none"/>
        </w:rPr>
      </w:pPr>
    </w:p>
    <w:p>
      <w:pPr>
        <w:pStyle w:val="4"/>
        <w:bidi w:val="0"/>
        <w:rPr>
          <w:rFonts w:hint="eastAsia"/>
          <w:sz w:val="21"/>
          <w:szCs w:val="21"/>
          <w:highlight w:val="none"/>
        </w:rPr>
      </w:pPr>
      <w:r>
        <w:rPr>
          <w:rFonts w:hint="eastAsia"/>
          <w:sz w:val="21"/>
          <w:szCs w:val="21"/>
          <w:highlight w:val="none"/>
        </w:rPr>
        <w:t>2、软件功能介绍</w:t>
      </w:r>
    </w:p>
    <w:p>
      <w:pPr>
        <w:pStyle w:val="5"/>
        <w:numPr>
          <w:ilvl w:val="0"/>
          <w:numId w:val="0"/>
        </w:numPr>
        <w:bidi w:val="0"/>
        <w:rPr>
          <w:rFonts w:hint="eastAsia"/>
          <w:sz w:val="21"/>
          <w:szCs w:val="21"/>
          <w:highlight w:val="none"/>
        </w:rPr>
      </w:pPr>
      <w:r>
        <w:rPr>
          <w:rFonts w:hint="eastAsia"/>
          <w:sz w:val="21"/>
          <w:szCs w:val="21"/>
          <w:highlight w:val="none"/>
          <w:lang w:val="en-US" w:eastAsia="zh-CN"/>
        </w:rPr>
        <w:t>2.1、</w:t>
      </w:r>
      <w:r>
        <w:rPr>
          <w:rFonts w:hint="eastAsia"/>
          <w:sz w:val="21"/>
          <w:szCs w:val="21"/>
          <w:highlight w:val="none"/>
        </w:rPr>
        <w:t>门诊挂号收费管理系统</w:t>
      </w:r>
    </w:p>
    <w:p>
      <w:pPr>
        <w:pStyle w:val="10"/>
        <w:spacing w:before="12"/>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9"/>
        <w:gridCol w:w="1778"/>
        <w:gridCol w:w="5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778"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504"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排班管理</w:t>
            </w: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患者档案管理</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376" w:firstLineChars="200"/>
              <w:textAlignment w:val="auto"/>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建立患者基本信息；控制同一患者重复建档及同一</w:t>
            </w:r>
            <w:r>
              <w:rPr>
                <w:rFonts w:hint="eastAsia" w:ascii="宋体" w:hAnsi="宋体" w:eastAsia="宋体" w:cs="宋体"/>
                <w:spacing w:val="-12"/>
                <w:sz w:val="21"/>
                <w:szCs w:val="21"/>
                <w:highlight w:val="none"/>
              </w:rPr>
              <w:t>患者唯一性；对未成年或失去行动能力患者建立监护人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信息；支持患者建卡且可建多张卡；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挂号管理</w:t>
            </w: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门诊挂号</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396" w:firstLineChars="2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支持医疗卡、身份证等调取患者信息挂号；支持从</w:t>
            </w:r>
            <w:r>
              <w:rPr>
                <w:rFonts w:hint="eastAsia" w:ascii="宋体" w:hAnsi="宋体" w:eastAsia="宋体" w:cs="宋体"/>
                <w:spacing w:val="-12"/>
                <w:sz w:val="21"/>
                <w:szCs w:val="21"/>
                <w:highlight w:val="none"/>
              </w:rPr>
              <w:t>患者档案库中过滤选择调取患者信息挂号；支持挂号保</w:t>
            </w:r>
            <w:r>
              <w:rPr>
                <w:rFonts w:hint="eastAsia" w:ascii="宋体" w:hAnsi="宋体" w:eastAsia="宋体" w:cs="宋体"/>
                <w:spacing w:val="-14"/>
                <w:sz w:val="21"/>
                <w:szCs w:val="21"/>
                <w:highlight w:val="none"/>
              </w:rPr>
              <w:t>存时同时自动建档；支持现场患者预约挂号；支持预约</w:t>
            </w:r>
            <w:r>
              <w:rPr>
                <w:rFonts w:hint="eastAsia" w:ascii="宋体" w:hAnsi="宋体" w:eastAsia="宋体" w:cs="宋体"/>
                <w:spacing w:val="-17"/>
                <w:sz w:val="21"/>
                <w:szCs w:val="21"/>
                <w:highlight w:val="none"/>
              </w:rPr>
              <w:t xml:space="preserve">登记未付费患者缴款确认或取消；预约挂号支持每个班次号源按多个小的时段提供给患者选择并显示已挂号 </w:t>
            </w:r>
            <w:r>
              <w:rPr>
                <w:rFonts w:hint="eastAsia" w:ascii="宋体" w:hAnsi="宋体" w:eastAsia="宋体" w:cs="宋体"/>
                <w:spacing w:val="-18"/>
                <w:sz w:val="21"/>
                <w:szCs w:val="21"/>
                <w:highlight w:val="none"/>
              </w:rPr>
              <w:t xml:space="preserve">数和余数；可控制同患者不能在同日多次挂同一科室； </w:t>
            </w:r>
            <w:r>
              <w:rPr>
                <w:rFonts w:hint="eastAsia" w:ascii="宋体" w:hAnsi="宋体" w:eastAsia="宋体" w:cs="宋体"/>
                <w:spacing w:val="-6"/>
                <w:sz w:val="21"/>
                <w:szCs w:val="21"/>
                <w:highlight w:val="none"/>
              </w:rPr>
              <w:t>可根据患者选择的医生自动计算出挂号相关费用；支持</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多种方式付费。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退号管理</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支持退号时部分费用退号不退费如病历工本费等；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控制部分号不能退如已产生费用的、医生已处置过的等。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挂号信息</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可以维护修改挂号信息中基本信息并修改患者档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挂号查询</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挂号查询</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根据科室、医生、日期、号种、患者类别等条件任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cs="宋体"/>
                <w:sz w:val="21"/>
                <w:szCs w:val="21"/>
                <w:highlight w:val="none"/>
                <w:lang w:eastAsia="zh-CN"/>
              </w:rPr>
              <w:t>乙组</w:t>
            </w:r>
            <w:r>
              <w:rPr>
                <w:rFonts w:hint="eastAsia" w:ascii="宋体" w:hAnsi="宋体" w:eastAsia="宋体" w:cs="宋体"/>
                <w:sz w:val="21"/>
                <w:szCs w:val="21"/>
                <w:highlight w:val="none"/>
              </w:rPr>
              <w:t>查询挂号明细及统计挂号数据。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挂号补打</w:t>
            </w:r>
          </w:p>
        </w:tc>
        <w:tc>
          <w:tcPr>
            <w:tcW w:w="1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挂号票据</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补打</w:t>
            </w:r>
          </w:p>
        </w:tc>
        <w:tc>
          <w:tcPr>
            <w:tcW w:w="55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可以补打或回打挂号相关票据。</w:t>
            </w:r>
          </w:p>
        </w:tc>
      </w:tr>
    </w:tbl>
    <w:p>
      <w:pPr>
        <w:pStyle w:val="10"/>
        <w:spacing w:before="10"/>
        <w:rPr>
          <w:rFonts w:hint="eastAsia" w:ascii="宋体" w:hAnsi="宋体" w:eastAsia="宋体" w:cs="宋体"/>
          <w:b/>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2.2、</w:t>
      </w:r>
      <w:r>
        <w:rPr>
          <w:rFonts w:hint="eastAsia"/>
          <w:sz w:val="21"/>
          <w:szCs w:val="21"/>
          <w:highlight w:val="none"/>
        </w:rPr>
        <w:t>收费票据管理系统</w:t>
      </w:r>
    </w:p>
    <w:p>
      <w:pPr>
        <w:pStyle w:val="10"/>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门诊、住院收费票据管理、结算管理，收退费统计、对账管理、数据平衡检验。</w:t>
      </w:r>
    </w:p>
    <w:p>
      <w:pPr>
        <w:pStyle w:val="5"/>
        <w:numPr>
          <w:ilvl w:val="0"/>
          <w:numId w:val="0"/>
        </w:numPr>
        <w:bidi w:val="0"/>
        <w:rPr>
          <w:rFonts w:hint="eastAsia"/>
          <w:sz w:val="21"/>
          <w:szCs w:val="21"/>
          <w:highlight w:val="none"/>
        </w:rPr>
      </w:pPr>
      <w:r>
        <w:rPr>
          <w:rFonts w:hint="eastAsia"/>
          <w:sz w:val="21"/>
          <w:szCs w:val="21"/>
          <w:highlight w:val="none"/>
          <w:lang w:val="en-US" w:eastAsia="zh-CN"/>
        </w:rPr>
        <w:t>2.3、</w:t>
      </w:r>
      <w:r>
        <w:rPr>
          <w:rFonts w:hint="eastAsia"/>
          <w:sz w:val="21"/>
          <w:szCs w:val="21"/>
          <w:highlight w:val="none"/>
        </w:rPr>
        <w:t>门诊药房管理系统</w:t>
      </w:r>
      <w:r>
        <w:rPr>
          <w:rFonts w:hint="eastAsia"/>
          <w:sz w:val="21"/>
          <w:szCs w:val="21"/>
          <w:highlight w:val="none"/>
          <w:lang w:eastAsia="zh-CN"/>
        </w:rPr>
        <w:t>（</w:t>
      </w:r>
      <w:r>
        <w:rPr>
          <w:rFonts w:hint="eastAsia"/>
          <w:sz w:val="21"/>
          <w:szCs w:val="21"/>
          <w:highlight w:val="none"/>
        </w:rPr>
        <w:t>包含中草药管理</w:t>
      </w:r>
      <w:r>
        <w:rPr>
          <w:rFonts w:hint="eastAsia"/>
          <w:sz w:val="21"/>
          <w:szCs w:val="21"/>
          <w:highlight w:val="none"/>
          <w:lang w:eastAsia="zh-CN"/>
        </w:rPr>
        <w:t>）</w:t>
      </w:r>
    </w:p>
    <w:p>
      <w:pPr>
        <w:pStyle w:val="10"/>
        <w:spacing w:before="9"/>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116"/>
        <w:gridCol w:w="5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2116"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78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药品采购计划</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cs="宋体"/>
                <w:sz w:val="21"/>
                <w:szCs w:val="21"/>
                <w:highlight w:val="none"/>
                <w:lang w:eastAsia="zh-CN"/>
              </w:rPr>
              <w:t>制订</w:t>
            </w:r>
            <w:r>
              <w:rPr>
                <w:rFonts w:hint="eastAsia" w:ascii="宋体" w:hAnsi="宋体" w:eastAsia="宋体" w:cs="宋体"/>
                <w:sz w:val="21"/>
                <w:szCs w:val="21"/>
                <w:highlight w:val="none"/>
              </w:rPr>
              <w:t>并且维护采购计划单，通过采购计划单对药品进行采购。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支持按时段消耗生成药品采购计划；</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支持按库存低于警戒线生成药品采购计划；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药品采购计划审核</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审核已制定的采购计划，还可以对已审核未采购的</w:t>
            </w:r>
            <w:r>
              <w:rPr>
                <w:rFonts w:hint="eastAsia" w:cs="宋体"/>
                <w:sz w:val="21"/>
                <w:szCs w:val="21"/>
                <w:highlight w:val="none"/>
                <w:lang w:eastAsia="zh-CN"/>
              </w:rPr>
              <w:t>计划</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划进行取消审核操作。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药品入库</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当前药房直接向指定库位调拨药品到当前库位。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入库申请</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药房向其他库位申请调拨药品。通过入库申请生成申</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请单，然后等待其他库位确认。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退药入库</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药房将需要退回药库的药品，通过退药入库，生成退</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药入库申请单。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入库确认</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药房向药库申请了一批药品。药库确认出库后，到达</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药房，通过该模块，药房确认调拨过来的药品。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退药入库单维护</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对药房申请退到药库的退药入库申请单进行维护。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科室退药</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科室将需要退回到药房的药品，通过科室退药将药品</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退回到药房，并保存退药记录。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出库管理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科室领用</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通过科室领用模块将药品出库到科室（病区）即本系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统支持药品科室库存，有效管理各科室（病区）药品使用情况。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批次管理</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对库存中的药品的各个批次信息进行增加、修改、停</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超限管理</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设置药品库存量在当前库位的上下警戒线。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效期管理</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对药品失效日期的管理，查询药品失效情况，并可对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已失效药品进行报损操作。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对药品增损情况进行记录。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增损记录申请</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根据药品增损的情况生成一个申请单，交由审核药品出现增损情况的人进行审核。</w:t>
            </w:r>
          </w:p>
        </w:tc>
      </w:tr>
    </w:tbl>
    <w:p>
      <w:pPr>
        <w:spacing w:after="0" w:line="278" w:lineRule="auto"/>
        <w:rPr>
          <w:rFonts w:hint="eastAsia" w:ascii="宋体" w:hAnsi="宋体" w:eastAsia="宋体" w:cs="宋体"/>
          <w:sz w:val="21"/>
          <w:szCs w:val="21"/>
          <w:highlight w:val="none"/>
        </w:rPr>
        <w:sectPr>
          <w:pgSz w:w="11910" w:h="16840"/>
          <w:pgMar w:top="1420" w:right="520" w:bottom="1160" w:left="620" w:header="0" w:footer="895" w:gutter="0"/>
          <w:pgNumType w:fmt="decimal"/>
          <w:cols w:space="720" w:num="1"/>
        </w:sect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116"/>
        <w:gridCol w:w="5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Align w:val="center"/>
          </w:tcPr>
          <w:p>
            <w:pPr>
              <w:pStyle w:val="53"/>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增损记录审核</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对药品出现增损的申请单，根据实际情况核对后进行</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审核并且完成增损操作。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调价管理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调价管理</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当药品价格出现波动，需要进行调价时，通过调价管理直接对所有需要调价的药品进行调价。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支持预调价管理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支持某一药品全院调价或当前库存调价或当前批次调价等。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调价记录申请</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当药品需要调价，通过调价记录申请生成调价申请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单，交由审核调价模块的人进行调价的核对，同时可根据情况指定时间调价。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调价记录审核</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对需要进行调价药品的申请单，根据实际情况核对后进行审核，并且完成调价操作。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spacing w:before="150" w:line="278" w:lineRule="auto"/>
              <w:ind w:right="1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门诊药房管理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门诊处方划价</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手工划价门诊患者的处方信息。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门诊发药</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对已缴费的门诊处方信息进行发药处理。支持批量发药（一般针对同一患者）。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门诊退药</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对已发药的处方进行退药处理，可整张处方全退，也可部分退。</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中草药处方退药支持按剂数退药和按某一味药全退。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门诊退药取消</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已经退药未退费处方可取消退药。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spacing w:line="278" w:lineRule="auto"/>
              <w:ind w:right="1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住院药房管理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住院处方划价</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药房人员可手工划价住院患者纸质处方并记账发药。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住院处方发药</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对未记账的住院处方</w:t>
            </w:r>
            <w:r>
              <w:rPr>
                <w:rFonts w:hint="eastAsia" w:cs="宋体"/>
                <w:sz w:val="21"/>
                <w:szCs w:val="21"/>
                <w:highlight w:val="none"/>
                <w:lang w:eastAsia="zh-CN"/>
              </w:rPr>
              <w:t>进行</w:t>
            </w:r>
            <w:r>
              <w:rPr>
                <w:rFonts w:hint="eastAsia" w:ascii="宋体" w:hAnsi="宋体" w:eastAsia="宋体" w:cs="宋体"/>
                <w:sz w:val="21"/>
                <w:szCs w:val="21"/>
                <w:highlight w:val="none"/>
              </w:rPr>
              <w:t>药操作，并保存记账信</w:t>
            </w:r>
            <w:r>
              <w:rPr>
                <w:rFonts w:hint="eastAsia" w:ascii="宋体" w:hAnsi="宋体" w:eastAsia="宋体" w:cs="宋体"/>
                <w:spacing w:val="-7"/>
                <w:sz w:val="21"/>
                <w:szCs w:val="21"/>
                <w:highlight w:val="none"/>
              </w:rPr>
              <w:t>息，主要针对住院护士执行药品医嘱生成的处方信息。支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持按病区发药。支持患者欠费警示。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住院退药</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对已记账的住院处方进行退药处理。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支持部分退药。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住院退药确认</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一般为住院护士的申请退药申请信息进行审核，并完成退药操作。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jc w:val="center"/>
              <w:rPr>
                <w:rFonts w:hint="eastAsia" w:ascii="宋体" w:hAnsi="宋体" w:eastAsia="宋体" w:cs="宋体"/>
                <w:b/>
                <w:sz w:val="21"/>
                <w:szCs w:val="21"/>
                <w:highlight w:val="none"/>
              </w:rPr>
            </w:pPr>
          </w:p>
          <w:p>
            <w:pPr>
              <w:pStyle w:val="53"/>
              <w:jc w:val="center"/>
              <w:rPr>
                <w:rFonts w:hint="eastAsia" w:ascii="宋体" w:hAnsi="宋体" w:eastAsia="宋体" w:cs="宋体"/>
                <w:b/>
                <w:sz w:val="21"/>
                <w:szCs w:val="21"/>
                <w:highlight w:val="none"/>
              </w:rPr>
            </w:pPr>
          </w:p>
          <w:p>
            <w:pPr>
              <w:pStyle w:val="53"/>
              <w:jc w:val="center"/>
              <w:rPr>
                <w:rFonts w:hint="eastAsia" w:ascii="宋体" w:hAnsi="宋体" w:eastAsia="宋体" w:cs="宋体"/>
                <w:b/>
                <w:sz w:val="21"/>
                <w:szCs w:val="21"/>
                <w:highlight w:val="none"/>
              </w:rPr>
            </w:pPr>
          </w:p>
          <w:p>
            <w:pPr>
              <w:pStyle w:val="53"/>
              <w:spacing w:before="118"/>
              <w:ind w:left="10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盘存管理</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盘存核算</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对库位中的药品的信息进行盘点操作，包括出入库情况、增损情况、调价情况、消耗情况等。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盘存核对</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根据需要，对盘点过的库位中的药品信息进行核对， 当确认无误后，对已核对好的库存信息进行确认。如果出现增损，则进行报增报损操作，如果未出现，进行审核操作。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spacing w:line="278" w:lineRule="auto"/>
              <w:ind w:right="1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药品信息维护</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药品基本信息维护</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ind w:left="527"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维护药品的各种基础信息，对药品信息进行新增、修改、停用、启用等操作。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库位信息维护</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ind w:left="527"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维护库位的各种基础信息，对库位信息进行新增、修改、停用、启用等操作。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药品品规维护</w:t>
            </w:r>
          </w:p>
        </w:tc>
        <w:tc>
          <w:tcPr>
            <w:tcW w:w="5781" w:type="dxa"/>
            <w:vAlign w:val="top"/>
          </w:tcPr>
          <w:p>
            <w:pPr>
              <w:pStyle w:val="53"/>
              <w:keepNext w:val="0"/>
              <w:keepLines w:val="0"/>
              <w:pageBreakBefore w:val="0"/>
              <w:widowControl w:val="0"/>
              <w:kinsoku/>
              <w:wordWrap/>
              <w:overflowPunct/>
              <w:topLinePunct w:val="0"/>
              <w:autoSpaceDE/>
              <w:autoSpaceDN/>
              <w:bidi w:val="0"/>
              <w:adjustRightInd/>
              <w:snapToGrid/>
              <w:ind w:left="527"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维护药品规格的各种基础信息，对药品规格信息进行</w:t>
            </w:r>
          </w:p>
          <w:p>
            <w:pPr>
              <w:pStyle w:val="53"/>
              <w:keepNext w:val="0"/>
              <w:keepLines w:val="0"/>
              <w:pageBreakBefore w:val="0"/>
              <w:widowControl w:val="0"/>
              <w:kinsoku/>
              <w:wordWrap/>
              <w:overflowPunct/>
              <w:topLinePunct w:val="0"/>
              <w:autoSpaceDE/>
              <w:autoSpaceDN/>
              <w:bidi w:val="0"/>
              <w:adjustRightInd/>
              <w:snapToGrid/>
              <w:ind w:left="107"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spacing w:before="6"/>
              <w:jc w:val="center"/>
              <w:rPr>
                <w:rFonts w:hint="eastAsia" w:ascii="宋体" w:hAnsi="宋体" w:eastAsia="宋体" w:cs="宋体"/>
                <w:b/>
                <w:sz w:val="21"/>
                <w:szCs w:val="21"/>
                <w:highlight w:val="none"/>
              </w:rPr>
            </w:pPr>
          </w:p>
          <w:p>
            <w:pPr>
              <w:pStyle w:val="53"/>
              <w:ind w:left="10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查询统计</w:t>
            </w: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药品调价查询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查询在一段时间内进行调过价的药品信息。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查询在一段时间内出现了增损的药品信息。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restart"/>
            <w:vAlign w:val="center"/>
          </w:tcPr>
          <w:p>
            <w:pPr>
              <w:pStyle w:val="53"/>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药品明细查询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查询库位中的药品基础信息。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left="107"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查询在一段时间内进行药品出入库的信息。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药品消耗查询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查询在一段时间内进行药品的消耗信息。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查询在一段时间内的门诊处方信息。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盘存信息查询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w:t>
            </w:r>
            <w:r>
              <w:rPr>
                <w:rFonts w:hint="eastAsia" w:cs="宋体"/>
                <w:sz w:val="21"/>
                <w:szCs w:val="21"/>
                <w:highlight w:val="none"/>
                <w:lang w:eastAsia="zh-CN"/>
              </w:rPr>
              <w:t>内裤</w:t>
            </w:r>
            <w:r>
              <w:rPr>
                <w:rFonts w:hint="eastAsia" w:ascii="宋体" w:hAnsi="宋体" w:eastAsia="宋体" w:cs="宋体"/>
                <w:sz w:val="21"/>
                <w:szCs w:val="21"/>
                <w:highlight w:val="none"/>
              </w:rPr>
              <w:t>位进行盘点过的信息。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药品库存查询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查询库位中的药品基础信息。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药品信息查询</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查询所有药品的基础信息。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库存汇总统计</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w:t>
            </w:r>
            <w:r>
              <w:rPr>
                <w:rFonts w:hint="eastAsia" w:cs="宋体"/>
                <w:sz w:val="21"/>
                <w:szCs w:val="21"/>
                <w:highlight w:val="none"/>
                <w:lang w:eastAsia="zh-CN"/>
              </w:rPr>
              <w:t>内裤</w:t>
            </w:r>
            <w:r>
              <w:rPr>
                <w:rFonts w:hint="eastAsia" w:ascii="宋体" w:hAnsi="宋体" w:eastAsia="宋体" w:cs="宋体"/>
                <w:sz w:val="21"/>
                <w:szCs w:val="21"/>
                <w:highlight w:val="none"/>
              </w:rPr>
              <w:t>位中的药品信息。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left="107"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药品出入库汇总</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统计在一段时间内药品出入库信息。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报增报损统计</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统计在一段时间内出现增损的药品信息。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left="107"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药品消耗统计</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统计在一段时间内药品的消耗信息。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门诊处方统计</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统计在一段时间内的门诊处方信息。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4" w:type="dxa"/>
            <w:vMerge w:val="continue"/>
            <w:tcBorders>
              <w:top w:val="nil"/>
            </w:tcBorders>
            <w:vAlign w:val="center"/>
          </w:tcPr>
          <w:p>
            <w:pPr>
              <w:jc w:val="center"/>
              <w:rPr>
                <w:rFonts w:hint="eastAsia" w:ascii="宋体" w:hAnsi="宋体" w:eastAsia="宋体" w:cs="宋体"/>
                <w:sz w:val="21"/>
                <w:szCs w:val="21"/>
                <w:highlight w:val="none"/>
              </w:rPr>
            </w:pPr>
          </w:p>
        </w:tc>
        <w:tc>
          <w:tcPr>
            <w:tcW w:w="2116" w:type="dxa"/>
            <w:vAlign w:val="center"/>
          </w:tcPr>
          <w:p>
            <w:pPr>
              <w:pStyle w:val="53"/>
              <w:keepNext w:val="0"/>
              <w:keepLines w:val="0"/>
              <w:pageBreakBefore w:val="0"/>
              <w:widowControl w:val="0"/>
              <w:kinsoku/>
              <w:wordWrap/>
              <w:overflowPunct/>
              <w:topLinePunct w:val="0"/>
              <w:autoSpaceDE/>
              <w:autoSpaceDN/>
              <w:bidi w:val="0"/>
              <w:adjustRightInd/>
              <w:snapToGrid/>
              <w:ind w:left="107"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门诊处方药品统计</w:t>
            </w:r>
          </w:p>
        </w:tc>
        <w:tc>
          <w:tcPr>
            <w:tcW w:w="5781" w:type="dxa"/>
            <w:vAlign w:val="center"/>
          </w:tcPr>
          <w:p>
            <w:pPr>
              <w:pStyle w:val="53"/>
              <w:keepNext w:val="0"/>
              <w:keepLines w:val="0"/>
              <w:pageBreakBefore w:val="0"/>
              <w:widowControl w:val="0"/>
              <w:kinsoku/>
              <w:wordWrap/>
              <w:overflowPunct/>
              <w:topLinePunct w:val="0"/>
              <w:autoSpaceDE/>
              <w:autoSpaceDN/>
              <w:bidi w:val="0"/>
              <w:adjustRightInd/>
              <w:snapToGrid/>
              <w:ind w:left="527"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统计在一段时间内的门诊处方药品信息。</w:t>
            </w:r>
          </w:p>
        </w:tc>
      </w:tr>
    </w:tbl>
    <w:p>
      <w:pPr>
        <w:pStyle w:val="10"/>
        <w:rPr>
          <w:rFonts w:hint="eastAsia" w:ascii="宋体" w:hAnsi="宋体" w:eastAsia="宋体" w:cs="宋体"/>
          <w:b/>
          <w:sz w:val="21"/>
          <w:szCs w:val="21"/>
          <w:highlight w:val="none"/>
        </w:rPr>
      </w:pPr>
    </w:p>
    <w:p>
      <w:pPr>
        <w:pStyle w:val="10"/>
        <w:spacing w:before="3"/>
        <w:rPr>
          <w:rFonts w:hint="eastAsia" w:ascii="宋体" w:hAnsi="宋体" w:eastAsia="宋体" w:cs="宋体"/>
          <w:b/>
          <w:sz w:val="21"/>
          <w:szCs w:val="21"/>
          <w:highlight w:val="none"/>
        </w:rPr>
      </w:pPr>
    </w:p>
    <w:p>
      <w:pPr>
        <w:pStyle w:val="5"/>
        <w:numPr>
          <w:ilvl w:val="0"/>
          <w:numId w:val="0"/>
        </w:numPr>
        <w:bidi w:val="0"/>
        <w:ind w:left="1020" w:leftChars="0"/>
        <w:rPr>
          <w:rFonts w:hint="eastAsia"/>
          <w:sz w:val="21"/>
          <w:szCs w:val="21"/>
          <w:highlight w:val="none"/>
        </w:rPr>
      </w:pPr>
      <w:r>
        <w:rPr>
          <w:rFonts w:hint="eastAsia"/>
          <w:sz w:val="21"/>
          <w:szCs w:val="21"/>
          <w:highlight w:val="none"/>
        </w:rPr>
        <w:t>2.4、住院药房管理系统（包含中草药管理）</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2329"/>
        <w:gridCol w:w="5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2329"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469"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药品采购计划</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textAlignment w:val="auto"/>
              <w:rPr>
                <w:rFonts w:hint="eastAsia" w:ascii="宋体" w:hAnsi="宋体" w:eastAsia="宋体" w:cs="宋体"/>
                <w:sz w:val="21"/>
                <w:szCs w:val="21"/>
                <w:highlight w:val="none"/>
              </w:rPr>
            </w:pPr>
            <w:r>
              <w:rPr>
                <w:rFonts w:hint="eastAsia" w:cs="宋体"/>
                <w:sz w:val="21"/>
                <w:szCs w:val="21"/>
                <w:highlight w:val="none"/>
                <w:lang w:eastAsia="zh-CN"/>
              </w:rPr>
              <w:t>制订</w:t>
            </w:r>
            <w:r>
              <w:rPr>
                <w:rFonts w:hint="eastAsia" w:ascii="宋体" w:hAnsi="宋体" w:eastAsia="宋体" w:cs="宋体"/>
                <w:sz w:val="21"/>
                <w:szCs w:val="21"/>
                <w:highlight w:val="none"/>
              </w:rPr>
              <w:t>并且维护采购计划单，通过采购计划单对药品进行采购。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支持按时段消耗生成药品采购计划；</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支持按库存低于警戒线生成药品采购计划；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药品采购计划审核</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审核已制定的采购计划，还可以对已审核未采购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cs="宋体"/>
                <w:sz w:val="21"/>
                <w:szCs w:val="21"/>
                <w:highlight w:val="none"/>
                <w:lang w:eastAsia="zh-CN"/>
              </w:rPr>
              <w:t>得</w:t>
            </w:r>
            <w:r>
              <w:rPr>
                <w:rFonts w:hint="eastAsia" w:ascii="宋体" w:hAnsi="宋体" w:eastAsia="宋体" w:cs="宋体"/>
                <w:sz w:val="21"/>
                <w:szCs w:val="21"/>
                <w:highlight w:val="none"/>
              </w:rPr>
              <w:t>计划进行取消审核操作。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药品入库</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当前药房直接向指定库位调拨药品到当前库位。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入库申请</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药房向其他库位申请调拨药品。通过入库申请生</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成申请单，然后等待其他库位确认。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退药入库</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药房将需要退回药库的药品，通过退药入库，生</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成退药入库申请单。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入库确认</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药房向药库申请了一批药品。药库确认出库后，</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到达药房，通过该模块，药房确认调拨过来的药品。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退药入库单维护</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对药房申请退到药库的退药入库申请单进行维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科室退药</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科室将需要退回到药房的药品，通过科室退药将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药品退回到药房，并保存退药记录。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出库管理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科室领用</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通过科室领用模块将药品出库到科室（病区）即</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本系统支持药品科室库存，有效管理各科室（病区） 药品使用情况。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批次管理</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对库存中的药品的各个批次信息进行增加、修改、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停用等。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超限管理</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设置药品库存量在当前库位的上下警戒线。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效期管理</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对药品失效日期的管理，查询药品失效情况，并</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可对已失效药品进行报损操作。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对药品增损情况进行记录。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增损记录申请</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根据药品增损的情况生成一个申请单，交由审核药品出现增损情况的人进行审核。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增损记录审核</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对药品出现增损的申请单，根据实际情况核对后</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进行审核并且完成增损操作。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调价管理</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当药品价格出现波动，需要进行调价时，通过调价管理直接对所有需要调价的药品进行调价。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支持预调价管理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支持某一药品全院调价或当前库存调价或当前批次调价等。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调价记录申请</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当药品需要调价，通过调价记录申请生成调价申请单，交由审核调价模块的人进行调价的核对，同时</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可根据情况指定时间调价。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调价记录审核</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对需要进行调价药品的申请单，根据实际情况核对后进行审核，并且完成调价操作。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住院药房管理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住院处方划价</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药房人员可手工划价住院患者纸质处方并记账发药。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医嘱发药</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对护士站执行的药品医嘱执行发药。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住院处方发药</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对未记账的住院处方</w:t>
            </w:r>
            <w:r>
              <w:rPr>
                <w:rFonts w:hint="eastAsia" w:cs="宋体"/>
                <w:sz w:val="21"/>
                <w:szCs w:val="21"/>
                <w:highlight w:val="none"/>
                <w:lang w:eastAsia="zh-CN"/>
              </w:rPr>
              <w:t>进行</w:t>
            </w:r>
            <w:r>
              <w:rPr>
                <w:rFonts w:hint="eastAsia" w:ascii="宋体" w:hAnsi="宋体" w:eastAsia="宋体" w:cs="宋体"/>
                <w:sz w:val="21"/>
                <w:szCs w:val="21"/>
                <w:highlight w:val="none"/>
              </w:rPr>
              <w:t>药操作，并保存记账信息，主要针对住院护士执行药品医嘱生成的处方信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息。支持按病区发药。支持患者欠费警示。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住院退药</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对已记账的住院处方进行退药处理。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支持部分退药。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住院退药确认</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一般为住院护士的申请退药申请信息进行审核，</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并完成退药操作。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盘存管理</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盘存核算</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对库位中的药品的信息进行盘点操作，包括出入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库情况、增损情况、调价情况、消耗情况等。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盘存核对</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根据需要，对盘点过的库位中的药品信息进行核</w:t>
            </w:r>
            <w:r>
              <w:rPr>
                <w:rFonts w:hint="eastAsia" w:ascii="宋体" w:hAnsi="宋体" w:eastAsia="宋体" w:cs="宋体"/>
                <w:spacing w:val="-5"/>
                <w:sz w:val="21"/>
                <w:szCs w:val="21"/>
                <w:highlight w:val="none"/>
              </w:rPr>
              <w:t>对，当确认无误后，对已核对好的库存信息进行确认。</w:t>
            </w:r>
            <w:r>
              <w:rPr>
                <w:rFonts w:hint="eastAsia" w:ascii="宋体" w:hAnsi="宋体" w:eastAsia="宋体" w:cs="宋体"/>
                <w:sz w:val="21"/>
                <w:szCs w:val="21"/>
                <w:highlight w:val="none"/>
              </w:rPr>
              <w:t>如果出现增损，则进行报增报损操作，如果未出现，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进行审核操作。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药品信息维护</w:t>
            </w: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药品基本信息维护</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维护药品的各种基础信息，对药品信息进行新增、</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库位信息维护</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维护库位的各种基础信息，对库位信息进行新增、</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药品品规维护</w:t>
            </w:r>
          </w:p>
        </w:tc>
        <w:tc>
          <w:tcPr>
            <w:tcW w:w="546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维护药品规格的各种基础信息，对药品规格信息</w:t>
            </w:r>
          </w:p>
        </w:tc>
      </w:tr>
    </w:tbl>
    <w:p>
      <w:pPr>
        <w:spacing w:after="0"/>
        <w:rPr>
          <w:rFonts w:hint="eastAsia" w:ascii="宋体" w:hAnsi="宋体" w:eastAsia="宋体" w:cs="宋体"/>
          <w:sz w:val="21"/>
          <w:szCs w:val="21"/>
          <w:highlight w:val="none"/>
        </w:rPr>
        <w:sectPr>
          <w:pgSz w:w="11910" w:h="16840"/>
          <w:pgMar w:top="1420" w:right="520" w:bottom="1080" w:left="620" w:header="0" w:footer="895" w:gutter="0"/>
          <w:pgNumType w:fmt="decimal"/>
          <w:cols w:space="720" w:num="1"/>
        </w:sectPr>
      </w:pPr>
    </w:p>
    <w:tbl>
      <w:tblPr>
        <w:tblStyle w:val="23"/>
        <w:tblW w:w="0" w:type="auto"/>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2183"/>
        <w:gridCol w:w="5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94" w:type="dxa"/>
          </w:tcPr>
          <w:p>
            <w:pPr>
              <w:pStyle w:val="53"/>
              <w:rPr>
                <w:rFonts w:hint="eastAsia" w:ascii="宋体" w:hAnsi="宋体" w:eastAsia="宋体" w:cs="宋体"/>
                <w:sz w:val="21"/>
                <w:szCs w:val="21"/>
                <w:highlight w:val="none"/>
              </w:rPr>
            </w:pPr>
          </w:p>
        </w:tc>
        <w:tc>
          <w:tcPr>
            <w:tcW w:w="2183" w:type="dxa"/>
          </w:tcPr>
          <w:p>
            <w:pPr>
              <w:pStyle w:val="53"/>
              <w:rPr>
                <w:rFonts w:hint="eastAsia" w:ascii="宋体" w:hAnsi="宋体" w:eastAsia="宋体" w:cs="宋体"/>
                <w:sz w:val="21"/>
                <w:szCs w:val="21"/>
                <w:highlight w:val="none"/>
              </w:rPr>
            </w:pP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进行新增、修改、停用、启用等操作。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94" w:type="dxa"/>
            <w:vMerge w:val="restart"/>
          </w:tcPr>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spacing w:before="10"/>
              <w:rPr>
                <w:rFonts w:hint="eastAsia" w:ascii="宋体" w:hAnsi="宋体" w:eastAsia="宋体" w:cs="宋体"/>
                <w:b/>
                <w:sz w:val="21"/>
                <w:szCs w:val="21"/>
                <w:highlight w:val="none"/>
              </w:rPr>
            </w:pPr>
          </w:p>
          <w:p>
            <w:pPr>
              <w:pStyle w:val="53"/>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查询统计</w:t>
            </w: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29"/>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药品调价查询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查询在一段时间内进行调过价的药品信息。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23"/>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查询在一段时间内出现了增损的药品信息。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28"/>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药品明细查询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查询库位中的药品基础信息。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38"/>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查询在一段时间内进行药品出入库的信息。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55"/>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药品消耗查询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查询在一段时间内进行药品的消耗信息。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65"/>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查询在一段时间内的门诊处方信息。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5"/>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盘存信息查询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w:t>
            </w:r>
            <w:r>
              <w:rPr>
                <w:rFonts w:hint="eastAsia" w:cs="宋体"/>
                <w:sz w:val="21"/>
                <w:szCs w:val="21"/>
                <w:highlight w:val="none"/>
                <w:lang w:eastAsia="zh-CN"/>
              </w:rPr>
              <w:t>内裤</w:t>
            </w:r>
            <w:r>
              <w:rPr>
                <w:rFonts w:hint="eastAsia" w:ascii="宋体" w:hAnsi="宋体" w:eastAsia="宋体" w:cs="宋体"/>
                <w:sz w:val="21"/>
                <w:szCs w:val="21"/>
                <w:highlight w:val="none"/>
              </w:rPr>
              <w:t>位进行盘点过的信息。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8"/>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药品库存查询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查询库位中的药品基础信息。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4"/>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药品信息查询</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查询所有药品的基础信息。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0"/>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库存汇总统计</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w:t>
            </w:r>
            <w:r>
              <w:rPr>
                <w:rFonts w:hint="eastAsia" w:cs="宋体"/>
                <w:sz w:val="21"/>
                <w:szCs w:val="21"/>
                <w:highlight w:val="none"/>
                <w:lang w:eastAsia="zh-CN"/>
              </w:rPr>
              <w:t>内裤</w:t>
            </w:r>
            <w:r>
              <w:rPr>
                <w:rFonts w:hint="eastAsia" w:ascii="宋体" w:hAnsi="宋体" w:eastAsia="宋体" w:cs="宋体"/>
                <w:sz w:val="21"/>
                <w:szCs w:val="21"/>
                <w:highlight w:val="none"/>
              </w:rPr>
              <w:t>位中的药品信息。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3"/>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药品出入库汇总</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统计在一段时间内药品出入库信息。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6"/>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报增报损统计</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统计在一段时间内出现增损的药品信息。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9"/>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药品消耗统计</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统计在一段时间内药品的消耗信息。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73"/>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门诊处方统计</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统计在一段时间内的门诊处方信息。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194" w:type="dxa"/>
            <w:vMerge w:val="continue"/>
            <w:tcBorders>
              <w:top w:val="nil"/>
            </w:tcBorders>
          </w:tcPr>
          <w:p>
            <w:pPr>
              <w:rPr>
                <w:rFonts w:hint="eastAsia" w:ascii="宋体" w:hAnsi="宋体" w:eastAsia="宋体" w:cs="宋体"/>
                <w:sz w:val="21"/>
                <w:szCs w:val="21"/>
                <w:highlight w:val="none"/>
              </w:rPr>
            </w:pPr>
          </w:p>
        </w:tc>
        <w:tc>
          <w:tcPr>
            <w:tcW w:w="2183" w:type="dxa"/>
            <w:vAlign w:val="center"/>
          </w:tcPr>
          <w:p>
            <w:pPr>
              <w:pStyle w:val="53"/>
              <w:keepNext w:val="0"/>
              <w:keepLines w:val="0"/>
              <w:pageBreakBefore w:val="0"/>
              <w:widowControl w:val="0"/>
              <w:kinsoku/>
              <w:wordWrap/>
              <w:overflowPunct/>
              <w:topLinePunct w:val="0"/>
              <w:autoSpaceDE/>
              <w:autoSpaceDN/>
              <w:bidi w:val="0"/>
              <w:adjustRightInd/>
              <w:snapToGrid/>
              <w:spacing w:before="143"/>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门诊处方药品统计</w:t>
            </w:r>
          </w:p>
        </w:tc>
        <w:tc>
          <w:tcPr>
            <w:tcW w:w="5127" w:type="dxa"/>
            <w:vAlign w:val="center"/>
          </w:tcPr>
          <w:p>
            <w:pPr>
              <w:pStyle w:val="53"/>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统计在一段时间内的门诊处方药品信息。</w:t>
            </w:r>
          </w:p>
        </w:tc>
      </w:tr>
    </w:tbl>
    <w:p>
      <w:pPr>
        <w:pStyle w:val="10"/>
        <w:rPr>
          <w:rFonts w:hint="eastAsia" w:ascii="宋体" w:hAnsi="宋体" w:eastAsia="宋体" w:cs="宋体"/>
          <w:b/>
          <w:sz w:val="21"/>
          <w:szCs w:val="21"/>
          <w:highlight w:val="none"/>
        </w:rPr>
      </w:pPr>
    </w:p>
    <w:p>
      <w:pPr>
        <w:pStyle w:val="10"/>
        <w:spacing w:before="1"/>
        <w:rPr>
          <w:rFonts w:hint="eastAsia" w:ascii="宋体" w:hAnsi="宋体" w:eastAsia="宋体" w:cs="宋体"/>
          <w:b/>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2.5、</w:t>
      </w:r>
      <w:r>
        <w:rPr>
          <w:rFonts w:hint="eastAsia"/>
          <w:sz w:val="21"/>
          <w:szCs w:val="21"/>
          <w:highlight w:val="none"/>
        </w:rPr>
        <w:t>药库管理系统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2382"/>
        <w:gridCol w:w="5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2382"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362"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入库管理</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药品采购计划</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cs="宋体"/>
                <w:sz w:val="21"/>
                <w:szCs w:val="21"/>
                <w:highlight w:val="none"/>
                <w:lang w:eastAsia="zh-CN"/>
              </w:rPr>
              <w:t>制订</w:t>
            </w:r>
            <w:r>
              <w:rPr>
                <w:rFonts w:hint="eastAsia" w:ascii="宋体" w:hAnsi="宋体" w:eastAsia="宋体" w:cs="宋体"/>
                <w:sz w:val="21"/>
                <w:szCs w:val="21"/>
                <w:highlight w:val="none"/>
              </w:rPr>
              <w:t>并且维护采购计划单，通过采购计划单对药品进行采购。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支持按时段消耗生成药品采购计划；</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支持按库存低于警戒线生成药品采购计划；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药品采购计划审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核</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审核已制定的采购计划，还可以对已审核未采购的计划进行取消审核操作。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购药入库</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对购买回医院的药品信息进行入库操作，并保存入库记录。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EXCEL 导入功能。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支持直接入库出库功能。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退药入库确认</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对药房申请退药到药库的数据进行确认，并保存出入库记录。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出库</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药品出库</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药库直接调拨一批药品到药房，并保存出入库记录。</w:t>
            </w:r>
          </w:p>
        </w:tc>
      </w:tr>
    </w:tbl>
    <w:p>
      <w:pPr>
        <w:spacing w:after="0"/>
        <w:rPr>
          <w:rFonts w:hint="eastAsia" w:ascii="宋体" w:hAnsi="宋体" w:eastAsia="宋体" w:cs="宋体"/>
          <w:sz w:val="21"/>
          <w:szCs w:val="21"/>
          <w:highlight w:val="none"/>
        </w:rPr>
        <w:sectPr>
          <w:pgSz w:w="11910" w:h="16840"/>
          <w:pgMar w:top="1420" w:right="520" w:bottom="1080" w:left="620" w:header="0" w:footer="895" w:gutter="0"/>
          <w:pgNumType w:fmt="decimal"/>
          <w:cols w:space="720" w:num="1"/>
        </w:sect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2382"/>
        <w:gridCol w:w="5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出库确认</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对药房申请的药品入库的申请单，进行确认出库，并保存出入库记录。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未确认出入库单维护</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对药库调拨出库的未确认的申请记录进行维护。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出库申请</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对药库申请药品出库信息进行保存。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出库确认审核</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审核药库出库的申请信息。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退货出库</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药库退货药品到供货商，并保存出库记录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库存管理</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批次管理</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对库存中的药品的各个批次信息进行增加、修改、停用等。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超限管理</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设置药品库存量在当前库位的上下警戒线。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效期管理</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对药品失效日期的管理，查询药品失效情况，并</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可对已失效药品进行报损操作。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增损管理</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对药品增损情况进行记录。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增损记录申请</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根据药品增损的情况生成一个申请单，交由审核药品出现增损情况的人进行审核。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增损记录审核</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对药品出现增损的申请单，根据实际情况核对后进行审核并且完成增损操作。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调价管理</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调价管理</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当药品价格出现波动，需要进行调价时，通过调价管理直接对所有需要调价的药品进行调价。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支持预调价管理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支持某一药品全院调价或当前库存调价或当前批次调价等。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调价记录申请</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当药品需要调价，通过调价记录申请生成调价申请单，交由审核调价模块的人进行调价的核对，同时</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可根据情况指定时间调价。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调价记录审核</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对需要进行调价药品的申请单，根据实际情况核对后进行审核，并且完成调价操作。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盘存管理</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盘存核算</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对库位中的药品的信息进行盘点操作，包括出入库情况、增损情况、调价情况、消耗情况等。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盘存核对</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08"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对盘点过的库位中的药品信息进行核对，当确认</w:t>
            </w:r>
            <w:r>
              <w:rPr>
                <w:rFonts w:hint="eastAsia" w:ascii="宋体" w:hAnsi="宋体" w:eastAsia="宋体" w:cs="宋体"/>
                <w:spacing w:val="-5"/>
                <w:sz w:val="21"/>
                <w:szCs w:val="21"/>
                <w:highlight w:val="none"/>
              </w:rPr>
              <w:t>无误后，对已核对好的库存信息进行确认。如果出现</w:t>
            </w:r>
            <w:r>
              <w:rPr>
                <w:rFonts w:hint="eastAsia" w:ascii="宋体" w:hAnsi="宋体" w:eastAsia="宋体" w:cs="宋体"/>
                <w:spacing w:val="-6"/>
                <w:sz w:val="21"/>
                <w:szCs w:val="21"/>
                <w:highlight w:val="none"/>
              </w:rPr>
              <w:t>增损，则进行报增报损操作，如果未出现，进行审核</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药品信息维护</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药品基本信息维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维护药品的各种基础信息，对药品信息进行新增、修改、停用、启用等操作。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库位信息维护</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维护库位的各种基础信息，对库位信息进行新增、修改、停用、启用等操作。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药品品规维护</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维护药品规格的各种基础信息，对药品规格信息进行新增、修改、停用、启用等操作。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查询统计</w:t>
            </w: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药品调价查询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查询在一段时间内进行调过价的药品信息。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查询在一段时间内出现了增损的药品信息。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药品明细查询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查询库位中的药品基础信息。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查询在一段时间内进行药品出入库的信息。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盘存信息查询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查询在一段时间</w:t>
            </w:r>
            <w:r>
              <w:rPr>
                <w:rFonts w:hint="eastAsia" w:cs="宋体"/>
                <w:sz w:val="21"/>
                <w:szCs w:val="21"/>
                <w:highlight w:val="none"/>
                <w:lang w:eastAsia="zh-CN"/>
              </w:rPr>
              <w:t>内裤</w:t>
            </w:r>
            <w:r>
              <w:rPr>
                <w:rFonts w:hint="eastAsia" w:ascii="宋体" w:hAnsi="宋体" w:eastAsia="宋体" w:cs="宋体"/>
                <w:sz w:val="21"/>
                <w:szCs w:val="21"/>
                <w:highlight w:val="none"/>
              </w:rPr>
              <w:t>位进行盘点过的信息。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药品库存查询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查询库位中的药品基础信息。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药品信息查询</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查询所有药品的基础信息。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库存汇总统计</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w:t>
            </w:r>
            <w:r>
              <w:rPr>
                <w:rFonts w:hint="eastAsia" w:cs="宋体"/>
                <w:sz w:val="21"/>
                <w:szCs w:val="21"/>
                <w:highlight w:val="none"/>
                <w:lang w:eastAsia="zh-CN"/>
              </w:rPr>
              <w:t>内裤</w:t>
            </w:r>
            <w:r>
              <w:rPr>
                <w:rFonts w:hint="eastAsia" w:ascii="宋体" w:hAnsi="宋体" w:eastAsia="宋体" w:cs="宋体"/>
                <w:sz w:val="21"/>
                <w:szCs w:val="21"/>
                <w:highlight w:val="none"/>
              </w:rPr>
              <w:t>位中的药品信息。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药品出入库汇总</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统计在一段时间内药品出入库信息。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报增报损统计</w:t>
            </w:r>
          </w:p>
        </w:tc>
        <w:tc>
          <w:tcPr>
            <w:tcW w:w="5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统计在一段时间内出现增损的药品信息。</w:t>
            </w:r>
          </w:p>
        </w:tc>
      </w:tr>
    </w:tbl>
    <w:p>
      <w:pPr>
        <w:pStyle w:val="5"/>
        <w:numPr>
          <w:ilvl w:val="0"/>
          <w:numId w:val="0"/>
        </w:numPr>
        <w:bidi w:val="0"/>
        <w:ind w:left="1022" w:leftChars="0"/>
        <w:rPr>
          <w:rFonts w:hint="eastAsia"/>
          <w:sz w:val="21"/>
          <w:szCs w:val="21"/>
          <w:highlight w:val="none"/>
        </w:rPr>
      </w:pPr>
      <w:r>
        <w:rPr>
          <w:rFonts w:hint="eastAsia"/>
          <w:sz w:val="21"/>
          <w:szCs w:val="21"/>
          <w:highlight w:val="none"/>
          <w:lang w:val="en-US" w:eastAsia="zh-CN"/>
        </w:rPr>
        <w:t>2.6、</w:t>
      </w:r>
      <w:r>
        <w:rPr>
          <w:rFonts w:hint="eastAsia"/>
          <w:sz w:val="21"/>
          <w:szCs w:val="21"/>
          <w:highlight w:val="none"/>
        </w:rPr>
        <w:t>住院信息管理系统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2228"/>
        <w:gridCol w:w="5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2228"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32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出入管理</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入院管理</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对住院患者进行入院管理。</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患者入院后，可以办理医保的转入转出；</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16"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对于满足入院撤销的患者，可以办理入院撤</w:t>
            </w:r>
            <w:r>
              <w:rPr>
                <w:rFonts w:hint="eastAsia" w:ascii="宋体" w:hAnsi="宋体" w:eastAsia="宋体" w:cs="宋体"/>
                <w:sz w:val="21"/>
                <w:szCs w:val="21"/>
                <w:highlight w:val="none"/>
              </w:rPr>
              <w:t>销；</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已入院患者，可以修改入院信息。</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16"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入院登记完成后系统自动转入预缴款界面完</w:t>
            </w:r>
            <w:r>
              <w:rPr>
                <w:rFonts w:hint="eastAsia" w:ascii="宋体" w:hAnsi="宋体" w:eastAsia="宋体" w:cs="宋体"/>
                <w:sz w:val="21"/>
                <w:szCs w:val="21"/>
                <w:highlight w:val="none"/>
              </w:rPr>
              <w:t>成入院预缴。</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住院号支持手工录入和系统自动生成。</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支持门诊电子入院证入院。</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支持患者新建档入院。</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支持入院即安床。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入院撤销</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患者入院后不再住院治疗，若无费用发生可撤销该患者入院登记。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支持当患者已存在医疗费用（主要为自动记账项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目）时入院撤销自动冲账处理。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出院管理</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对住院患者进行出院管理。</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396"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已执行出院医嘱的患者，可执行出院结账，出</w:t>
            </w:r>
            <w:r>
              <w:rPr>
                <w:rFonts w:hint="eastAsia" w:ascii="宋体" w:hAnsi="宋体" w:eastAsia="宋体" w:cs="宋体"/>
                <w:sz w:val="21"/>
                <w:szCs w:val="21"/>
                <w:highlight w:val="none"/>
              </w:rPr>
              <w:t>院登记，未结算结账；</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支持患者中途结账。</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支持医保出院结账。</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支持出院挂账登记。</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支持出院补收费时使用多支付方式。</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支持出院退费原路退回。</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支持一卡通患者首先使用账户金额。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出院召回</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对出院管理业务进行取消操作，可取消出院登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记、出院结账等；同时支持医保、农合结算召回。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预缴金管理</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收预缴金</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收缴住院患者预缴金，同时可展示当前中结次数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所缴的预缴金记录。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退预缴金</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退缴住院患者预缴金，同时可展示当前中结次数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所缴的预缴金记录。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一卡通账户圈</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即将患者一卡通账户余额冻结部分当作住院预</w:t>
            </w:r>
            <w:r>
              <w:rPr>
                <w:rFonts w:hint="eastAsia" w:ascii="宋体" w:hAnsi="宋体" w:eastAsia="宋体" w:cs="宋体"/>
                <w:spacing w:val="-9"/>
                <w:sz w:val="21"/>
                <w:szCs w:val="21"/>
                <w:highlight w:val="none"/>
              </w:rPr>
              <w:t>缴款，冻结这部分金额除在出院结算支付外不能再用</w:t>
            </w:r>
            <w:r>
              <w:rPr>
                <w:rFonts w:hint="eastAsia" w:ascii="宋体" w:hAnsi="宋体" w:eastAsia="宋体" w:cs="宋体"/>
                <w:sz w:val="21"/>
                <w:szCs w:val="21"/>
                <w:highlight w:val="none"/>
              </w:rPr>
              <w:t>于消费，同时也避免了一卡通账户金额转入转出</w:t>
            </w:r>
            <w:r>
              <w:rPr>
                <w:rFonts w:hint="eastAsia" w:cs="宋体"/>
                <w:sz w:val="21"/>
                <w:szCs w:val="21"/>
                <w:highlight w:val="none"/>
                <w:lang w:eastAsia="zh-CN"/>
              </w:rPr>
              <w:t>麻烦</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烦；支持多次圈入。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一卡通账户圈</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cs="宋体"/>
                <w:sz w:val="21"/>
                <w:szCs w:val="21"/>
                <w:highlight w:val="none"/>
                <w:lang w:eastAsia="zh-CN"/>
              </w:rPr>
              <w:t>撤销</w:t>
            </w:r>
            <w:r>
              <w:rPr>
                <w:rFonts w:hint="eastAsia" w:ascii="宋体" w:hAnsi="宋体" w:eastAsia="宋体" w:cs="宋体"/>
                <w:sz w:val="21"/>
                <w:szCs w:val="21"/>
                <w:highlight w:val="none"/>
              </w:rPr>
              <w:t>账户圈入金额。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费用管理</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住院担保</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对住院患者的担保记录进行管理。</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可以查询患者受担保记录；</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w:t>
            </w:r>
            <w:r>
              <w:rPr>
                <w:rFonts w:hint="eastAsia" w:cs="宋体"/>
                <w:sz w:val="21"/>
                <w:szCs w:val="21"/>
                <w:highlight w:val="none"/>
                <w:lang w:eastAsia="zh-CN"/>
              </w:rPr>
              <w:t>为</w:t>
            </w:r>
            <w:r>
              <w:rPr>
                <w:rFonts w:hint="eastAsia" w:ascii="宋体" w:hAnsi="宋体" w:eastAsia="宋体" w:cs="宋体"/>
                <w:sz w:val="21"/>
                <w:szCs w:val="21"/>
                <w:highlight w:val="none"/>
              </w:rPr>
              <w:t>患者新增担保记录。</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支持担保金额限制及有效期。</w:t>
            </w:r>
          </w:p>
          <w:p>
            <w:pPr>
              <w:pStyle w:val="53"/>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after="0" w:line="240" w:lineRule="auto"/>
              <w:ind w:leftChars="0" w:right="0" w:righ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w:t>
            </w:r>
            <w:r>
              <w:rPr>
                <w:rFonts w:hint="eastAsia" w:cs="宋体"/>
                <w:sz w:val="21"/>
                <w:szCs w:val="21"/>
                <w:highlight w:val="none"/>
                <w:lang w:eastAsia="zh-CN"/>
              </w:rPr>
              <w:t>撤销</w:t>
            </w:r>
            <w:r>
              <w:rPr>
                <w:rFonts w:hint="eastAsia" w:ascii="宋体" w:hAnsi="宋体" w:eastAsia="宋体" w:cs="宋体"/>
                <w:sz w:val="21"/>
                <w:szCs w:val="21"/>
                <w:highlight w:val="none"/>
              </w:rPr>
              <w:t>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住院记账</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对住院患者需要使用的医疗项目、组套进行手划价记账。</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支持欠费警示。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住院退费</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退住院患者已产生的记账项目、组套。</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16"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支持退费权限控制：</w:t>
            </w:r>
            <w:r>
              <w:rPr>
                <w:rFonts w:hint="eastAsia" w:ascii="宋体" w:hAnsi="宋体" w:eastAsia="宋体" w:cs="宋体"/>
                <w:sz w:val="21"/>
                <w:szCs w:val="21"/>
                <w:highlight w:val="none"/>
              </w:rPr>
              <w:t>A</w:t>
            </w:r>
            <w:r>
              <w:rPr>
                <w:rFonts w:hint="eastAsia" w:ascii="宋体" w:hAnsi="宋体" w:eastAsia="宋体" w:cs="宋体"/>
                <w:spacing w:val="-13"/>
                <w:sz w:val="21"/>
                <w:szCs w:val="21"/>
                <w:highlight w:val="none"/>
              </w:rPr>
              <w:t xml:space="preserve"> 科室操作员不能退 </w:t>
            </w:r>
            <w:r>
              <w:rPr>
                <w:rFonts w:hint="eastAsia" w:ascii="宋体" w:hAnsi="宋体" w:eastAsia="宋体" w:cs="宋体"/>
                <w:sz w:val="21"/>
                <w:szCs w:val="21"/>
                <w:highlight w:val="none"/>
              </w:rPr>
              <w:t>B</w:t>
            </w:r>
            <w:r>
              <w:rPr>
                <w:rFonts w:hint="eastAsia" w:ascii="宋体" w:hAnsi="宋体" w:eastAsia="宋体" w:cs="宋体"/>
                <w:spacing w:val="-23"/>
                <w:sz w:val="21"/>
                <w:szCs w:val="21"/>
                <w:highlight w:val="none"/>
              </w:rPr>
              <w:t xml:space="preserve"> 科室</w:t>
            </w:r>
            <w:r>
              <w:rPr>
                <w:rFonts w:hint="eastAsia" w:ascii="宋体" w:hAnsi="宋体" w:eastAsia="宋体" w:cs="宋体"/>
                <w:sz w:val="21"/>
                <w:szCs w:val="21"/>
                <w:highlight w:val="none"/>
              </w:rPr>
              <w:t>产生费用等。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自动记账</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针对患者床位费每日固定费用自动记账。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日结管理</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将医院指定时间段的收支进行结算。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日结汇总</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将指定的日结记录进行汇总打印。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日结汇总取消</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将已进行日结汇总的记录进行撤销。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收据管理</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收据管理</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对收据的管理。可以补打入院证，预缴票据，记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cs="宋体"/>
                <w:sz w:val="21"/>
                <w:szCs w:val="21"/>
                <w:highlight w:val="none"/>
                <w:lang w:eastAsia="zh-CN"/>
              </w:rPr>
              <w:t>账单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出院收据补打</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对出院收据的打印。可以补打或者重打患者的出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日清单打印</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日清单打印</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对日清单的打印。操作员可以选择指定患者的费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用清单，进行打印。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系统维护</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病区维护</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364"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对病区的维护。可以维护病区的类型，上级病区，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关联科室等信息。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住院患者类别</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对住院患者类别的维护。可以维护记账倍率，记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账限额，价格体系等。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查询统计</w:t>
            </w: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催款单查询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对已欠费患者信息进行查询，打印催款单。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住院患者查询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对住院患者基本信息进行查询。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出院患者查询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对出院患者基本信息以及出院信息进行查询。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22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出院登记患者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对出院登记的患者进行查询。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中途结账患者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对中途结账患者进行查询。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患者结算查询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对患者结算信息进行查询。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预缴金查询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对预缴金记录进行查询。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转科转床查询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对转科转床记录进行查询。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住院处方查询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对住院处方进行查询。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住院费用集中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对住院费用进行查询统计。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住院费用查询</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对住院费用记录进行查询。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全院收入统计</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对医院收入进行统计。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预缴金统计</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对预缴金记录进行统计。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222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已结账患者结</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算费用统计</w:t>
            </w:r>
          </w:p>
        </w:tc>
        <w:tc>
          <w:tcPr>
            <w:tcW w:w="532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对已结账患者的结算费用进行统计。</w:t>
            </w:r>
          </w:p>
        </w:tc>
      </w:tr>
    </w:tbl>
    <w:p>
      <w:pPr>
        <w:pStyle w:val="10"/>
        <w:rPr>
          <w:rFonts w:hint="eastAsia" w:ascii="宋体" w:hAnsi="宋体" w:eastAsia="宋体" w:cs="宋体"/>
          <w:b/>
          <w:sz w:val="21"/>
          <w:szCs w:val="21"/>
          <w:highlight w:val="none"/>
        </w:rPr>
      </w:pPr>
    </w:p>
    <w:p>
      <w:pPr>
        <w:pStyle w:val="5"/>
        <w:numPr>
          <w:ilvl w:val="0"/>
          <w:numId w:val="0"/>
        </w:numPr>
        <w:bidi w:val="0"/>
        <w:ind w:left="1022" w:leftChars="0"/>
        <w:rPr>
          <w:rFonts w:hint="eastAsia"/>
          <w:sz w:val="21"/>
          <w:szCs w:val="21"/>
          <w:highlight w:val="none"/>
        </w:rPr>
      </w:pPr>
      <w:r>
        <w:rPr>
          <w:rFonts w:hint="eastAsia"/>
          <w:sz w:val="21"/>
          <w:szCs w:val="21"/>
          <w:highlight w:val="none"/>
          <w:lang w:val="en-US" w:eastAsia="zh-CN"/>
        </w:rPr>
        <w:t>2.7、</w:t>
      </w:r>
      <w:r>
        <w:rPr>
          <w:rFonts w:hint="eastAsia"/>
          <w:sz w:val="21"/>
          <w:szCs w:val="21"/>
          <w:highlight w:val="none"/>
        </w:rPr>
        <w:t>院长查询系统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1973"/>
        <w:gridCol w:w="5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shd w:val="clear" w:color="auto" w:fill="9FD3A4"/>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973" w:type="dxa"/>
            <w:shd w:val="clear" w:color="auto" w:fill="9FD3A4"/>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806" w:type="dxa"/>
            <w:shd w:val="clear" w:color="auto" w:fill="9FD3A4"/>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首页</w:t>
            </w: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院长查询首</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页</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388"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 xml:space="preserve">提供医院关键 </w:t>
            </w:r>
            <w:r>
              <w:rPr>
                <w:rFonts w:hint="eastAsia" w:ascii="宋体" w:hAnsi="宋体" w:eastAsia="宋体" w:cs="宋体"/>
                <w:sz w:val="21"/>
                <w:szCs w:val="21"/>
                <w:highlight w:val="none"/>
              </w:rPr>
              <w:t>KPI</w:t>
            </w:r>
            <w:r>
              <w:rPr>
                <w:rFonts w:hint="eastAsia" w:ascii="宋体" w:hAnsi="宋体" w:eastAsia="宋体" w:cs="宋体"/>
                <w:spacing w:val="-10"/>
                <w:sz w:val="21"/>
                <w:szCs w:val="21"/>
                <w:highlight w:val="none"/>
              </w:rPr>
              <w:t xml:space="preserve"> 指标监控展示，包含总收入、门诊</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收入、住院收入、药占比、处方数、床位使用率等指标展示。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门诊查询</w:t>
            </w: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门诊支付汇</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对门诊支付进行统计。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门诊操作员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对指定操作员在某个时间段内的门诊日结记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门诊操作员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日结汇总</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对指定操作员在某个时间段内的门诊日结记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住院查询</w:t>
            </w: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出院患者查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查询出院患者的基本信息以及出院信息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住院操作员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对指定操作员在某个时间段内的住院日结记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住院操作员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日结汇总</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对指定操作员在某个时间段内的住院日结记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病区工作日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报表</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对病区的人数进行查询。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住院记账明</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对记账信息进行统计。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细统计</w:t>
            </w:r>
          </w:p>
        </w:tc>
        <w:tc>
          <w:tcPr>
            <w:tcW w:w="5806"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住院收退款</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对医院收退款进行查询与统计。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结账患者费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用明细统计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对患者的费用明细进行统计。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已结账患者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结算费用统计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对已结账的患者进行结算费用统计。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全院收入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对医院的收入进行统计。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药房查询</w:t>
            </w: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对门诊处方进行查询。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对门诊处方进行汇总查询。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药品消耗</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对药品消耗进行查询。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药品库存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对药品库存进行查询。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对药品信息进行查询。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对门诊处方进行统计。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门诊处方药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对门诊的处方所使用的药品进行查询统计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药品消耗</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对药品消耗进行统计。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库存汇总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对库存进行汇总统计。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药库查询</w:t>
            </w: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对盘存进行查询。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药品调价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对药品调价信息进行查询。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对报增报损的记录进行查询。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对药品出入口记录进行查询。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药品明细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对药品明细进行查询。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药品出入库</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汇总</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对药品出入库进行汇总查询统计。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报增报损</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对报增报损的记录进行查询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物资查询</w:t>
            </w: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物品库存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对物品库存进行查询。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物品出入库</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对物品出入库记录进行查询。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物品调价查询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对物品调价记录进行查询。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物品增损查询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对物品增损记录进行查询。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物品报废查询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对物品报废记录进行查询。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物品超限查询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对超出限量的物品进行查询。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盘存汇总信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息查询</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对盘存汇总数据进行查询。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物品库存统计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对物品库存进行统计。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物品出入库</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对物品出入库进行统计。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物品增损统计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对物品增损记录进行统计。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7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物品报废统计</w:t>
            </w:r>
          </w:p>
        </w:tc>
        <w:tc>
          <w:tcPr>
            <w:tcW w:w="58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对物品报废进行统计。</w:t>
            </w:r>
          </w:p>
        </w:tc>
      </w:tr>
    </w:tbl>
    <w:p>
      <w:pPr>
        <w:pStyle w:val="10"/>
        <w:spacing w:before="9"/>
        <w:rPr>
          <w:rFonts w:hint="eastAsia" w:ascii="宋体" w:hAnsi="宋体" w:eastAsia="宋体" w:cs="宋体"/>
          <w:b/>
          <w:sz w:val="21"/>
          <w:szCs w:val="21"/>
          <w:highlight w:val="none"/>
        </w:rPr>
      </w:pPr>
    </w:p>
    <w:p>
      <w:pPr>
        <w:pStyle w:val="5"/>
        <w:numPr>
          <w:ilvl w:val="0"/>
          <w:numId w:val="0"/>
        </w:numPr>
        <w:bidi w:val="0"/>
        <w:ind w:left="1022" w:leftChars="0"/>
        <w:rPr>
          <w:rFonts w:hint="eastAsia"/>
          <w:sz w:val="21"/>
          <w:szCs w:val="21"/>
          <w:highlight w:val="none"/>
        </w:rPr>
      </w:pPr>
      <w:r>
        <w:rPr>
          <w:rFonts w:hint="eastAsia"/>
          <w:sz w:val="21"/>
          <w:szCs w:val="21"/>
          <w:highlight w:val="none"/>
          <w:lang w:val="en-US" w:eastAsia="zh-CN"/>
        </w:rPr>
        <w:t>2.8、</w:t>
      </w:r>
      <w:r>
        <w:rPr>
          <w:rFonts w:hint="eastAsia"/>
          <w:sz w:val="21"/>
          <w:szCs w:val="21"/>
          <w:highlight w:val="none"/>
        </w:rPr>
        <w:t>基础服务系统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001"/>
        <w:gridCol w:w="1884"/>
        <w:gridCol w:w="5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0" w:type="dxa"/>
            <w:tcBorders>
              <w:right w:val="nil"/>
            </w:tcBorders>
            <w:shd w:val="clear" w:color="auto" w:fill="9FD3A4"/>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称</w:t>
            </w:r>
          </w:p>
        </w:tc>
        <w:tc>
          <w:tcPr>
            <w:tcW w:w="1001" w:type="dxa"/>
            <w:tcBorders>
              <w:left w:val="nil"/>
            </w:tcBorders>
            <w:shd w:val="clear" w:color="auto" w:fill="9FD3A4"/>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w:t>
            </w:r>
          </w:p>
        </w:tc>
        <w:tc>
          <w:tcPr>
            <w:tcW w:w="1884" w:type="dxa"/>
            <w:shd w:val="clear" w:color="auto" w:fill="9FD3A4"/>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736" w:type="dxa"/>
            <w:shd w:val="clear" w:color="auto" w:fill="9FD3A4"/>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权限管理</w:t>
            </w: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机构管理维护</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提供机构的信息添加、修改、停用、启用、删除等</w:t>
            </w:r>
            <w:r>
              <w:rPr>
                <w:rFonts w:hint="eastAsia" w:cs="宋体"/>
                <w:sz w:val="21"/>
                <w:szCs w:val="21"/>
                <w:highlight w:val="none"/>
                <w:lang w:eastAsia="zh-CN"/>
              </w:rPr>
              <w:t>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人员信息管理</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提供人员基本信息的添加、修改、停用、启用、查看、</w:t>
            </w:r>
            <w:r>
              <w:rPr>
                <w:rFonts w:hint="eastAsia" w:ascii="宋体" w:hAnsi="宋体" w:eastAsia="宋体" w:cs="宋体"/>
                <w:spacing w:val="-14"/>
                <w:sz w:val="21"/>
                <w:szCs w:val="21"/>
                <w:highlight w:val="none"/>
              </w:rPr>
              <w:t>批量导入等功能，同时支持操作员信息维护，包含操作员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权限设置、操作员密码重置等功能。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权限管理</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提供产品功能设置、产品功能离线或者在线更新、产</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品菜单管理、菜单参数设置、系统角色维护等功能。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基础信息维护</w:t>
            </w: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表定义管理</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提供系统表信息定义与维护功能，包含对表信息的新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增、修改、启用、停用等功能。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通用查询维护</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提供通用查询信息的维护，包含对新增、修改、停用、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启用、删除、预览等功能。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通用统计维护</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提供通用统计信息的维护，包含对新增、修改、停用、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启用、删除、预览等功能。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报表信息维护</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提供报表信息、报表分类信息维护，包括添加、修改、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停用、启用等功能。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消息维护</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提供消息字典信息的维护，包含新增、修改、删除等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51"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线程管理</w:t>
            </w:r>
          </w:p>
        </w:tc>
        <w:tc>
          <w:tcPr>
            <w:tcW w:w="18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线程服务维护</w:t>
            </w:r>
          </w:p>
        </w:tc>
        <w:tc>
          <w:tcPr>
            <w:tcW w:w="573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提供线程分类信息、线程服务信息的维护，支持线程</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的执行频率、周期、容错处理等功能配置。</w:t>
            </w:r>
          </w:p>
        </w:tc>
      </w:tr>
    </w:tbl>
    <w:p>
      <w:pPr>
        <w:spacing w:after="0"/>
        <w:rPr>
          <w:rFonts w:hint="eastAsia" w:ascii="宋体" w:hAnsi="宋体" w:eastAsia="宋体" w:cs="宋体"/>
          <w:sz w:val="21"/>
          <w:szCs w:val="21"/>
          <w:highlight w:val="none"/>
        </w:rPr>
        <w:sectPr>
          <w:pgSz w:w="11910" w:h="16840"/>
          <w:pgMar w:top="1420" w:right="520" w:bottom="1080" w:left="620" w:header="0" w:footer="895" w:gutter="0"/>
          <w:pgNumType w:fmt="decimal"/>
          <w:cols w:space="720" w:num="1"/>
        </w:sectPr>
      </w:pPr>
    </w:p>
    <w:tbl>
      <w:tblPr>
        <w:tblStyle w:val="23"/>
        <w:tblW w:w="0" w:type="auto"/>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1766"/>
        <w:gridCol w:w="5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61" w:type="dxa"/>
          </w:tcPr>
          <w:p>
            <w:pPr>
              <w:pStyle w:val="53"/>
              <w:rPr>
                <w:rFonts w:hint="eastAsia" w:ascii="宋体" w:hAnsi="宋体" w:eastAsia="宋体" w:cs="宋体"/>
                <w:sz w:val="21"/>
                <w:szCs w:val="21"/>
                <w:highlight w:val="none"/>
              </w:rPr>
            </w:pPr>
          </w:p>
        </w:tc>
        <w:tc>
          <w:tcPr>
            <w:tcW w:w="1766" w:type="dxa"/>
          </w:tcPr>
          <w:p>
            <w:pPr>
              <w:pStyle w:val="53"/>
              <w:spacing w:before="17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线程服务监控</w:t>
            </w:r>
          </w:p>
        </w:tc>
        <w:tc>
          <w:tcPr>
            <w:tcW w:w="5377" w:type="dxa"/>
            <w:vAlign w:val="center"/>
          </w:tcPr>
          <w:p>
            <w:pPr>
              <w:pStyle w:val="53"/>
              <w:spacing w:before="23" w:line="278" w:lineRule="auto"/>
              <w:ind w:left="108" w:right="96" w:firstLine="4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提供线程服务信息的浏览，能够监控线程执行的状</w:t>
            </w:r>
            <w:r>
              <w:rPr>
                <w:rFonts w:hint="eastAsia" w:ascii="宋体" w:hAnsi="宋体" w:eastAsia="宋体" w:cs="宋体"/>
                <w:spacing w:val="-12"/>
                <w:sz w:val="21"/>
                <w:szCs w:val="21"/>
                <w:highlight w:val="none"/>
              </w:rPr>
              <w:t>态、线程执行记录、错误记录等信息，同时支持手工执行</w:t>
            </w:r>
          </w:p>
          <w:p>
            <w:pPr>
              <w:pStyle w:val="53"/>
              <w:spacing w:line="269" w:lineRule="exact"/>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线程。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1" w:type="dxa"/>
            <w:vMerge w:val="restart"/>
            <w:vAlign w:val="center"/>
          </w:tcPr>
          <w:p>
            <w:pPr>
              <w:pStyle w:val="53"/>
              <w:spacing w:line="278" w:lineRule="auto"/>
              <w:ind w:right="19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基础数据维护</w:t>
            </w:r>
          </w:p>
        </w:tc>
        <w:tc>
          <w:tcPr>
            <w:tcW w:w="1766" w:type="dxa"/>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字典分类维护</w:t>
            </w:r>
          </w:p>
        </w:tc>
        <w:tc>
          <w:tcPr>
            <w:tcW w:w="5377" w:type="dxa"/>
            <w:vAlign w:val="center"/>
          </w:tcPr>
          <w:p>
            <w:pPr>
              <w:pStyle w:val="53"/>
              <w:spacing w:before="23"/>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提供字典分类信息的维护，包含添加、修改、停用、</w:t>
            </w:r>
          </w:p>
          <w:p>
            <w:pPr>
              <w:pStyle w:val="53"/>
              <w:spacing w:before="43"/>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启用、删除等功能。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1" w:type="dxa"/>
            <w:vMerge w:val="continue"/>
            <w:tcBorders>
              <w:top w:val="nil"/>
            </w:tcBorders>
            <w:vAlign w:val="center"/>
          </w:tcPr>
          <w:p>
            <w:pPr>
              <w:jc w:val="center"/>
              <w:rPr>
                <w:rFonts w:hint="eastAsia" w:ascii="宋体" w:hAnsi="宋体" w:eastAsia="宋体" w:cs="宋体"/>
                <w:sz w:val="21"/>
                <w:szCs w:val="21"/>
                <w:highlight w:val="none"/>
              </w:rPr>
            </w:pPr>
          </w:p>
        </w:tc>
        <w:tc>
          <w:tcPr>
            <w:tcW w:w="1766" w:type="dxa"/>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字典数据维护</w:t>
            </w:r>
          </w:p>
        </w:tc>
        <w:tc>
          <w:tcPr>
            <w:tcW w:w="5377" w:type="dxa"/>
            <w:vAlign w:val="center"/>
          </w:tcPr>
          <w:p>
            <w:pPr>
              <w:pStyle w:val="53"/>
              <w:spacing w:before="23"/>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提供标准字典数据的维护，能够支持所有标准化数据</w:t>
            </w:r>
          </w:p>
          <w:p>
            <w:pPr>
              <w:pStyle w:val="53"/>
              <w:spacing w:before="43"/>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的数据字典信息的维护。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1" w:type="dxa"/>
            <w:vMerge w:val="continue"/>
            <w:tcBorders>
              <w:top w:val="nil"/>
            </w:tcBorders>
            <w:vAlign w:val="center"/>
          </w:tcPr>
          <w:p>
            <w:pPr>
              <w:jc w:val="center"/>
              <w:rPr>
                <w:rFonts w:hint="eastAsia" w:ascii="宋体" w:hAnsi="宋体" w:eastAsia="宋体" w:cs="宋体"/>
                <w:sz w:val="21"/>
                <w:szCs w:val="21"/>
                <w:highlight w:val="none"/>
              </w:rPr>
            </w:pPr>
          </w:p>
        </w:tc>
        <w:tc>
          <w:tcPr>
            <w:tcW w:w="1766" w:type="dxa"/>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科室信息维护</w:t>
            </w:r>
          </w:p>
        </w:tc>
        <w:tc>
          <w:tcPr>
            <w:tcW w:w="5377" w:type="dxa"/>
            <w:vAlign w:val="center"/>
          </w:tcPr>
          <w:p>
            <w:pPr>
              <w:pStyle w:val="53"/>
              <w:spacing w:before="23"/>
              <w:ind w:left="528" w:right="-15"/>
              <w:jc w:val="both"/>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对科室信息进行维护，包括科室类型、所属行政科室、</w:t>
            </w:r>
          </w:p>
          <w:p>
            <w:pPr>
              <w:pStyle w:val="53"/>
              <w:spacing w:before="43"/>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关联病区、使用库位、简介等。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1" w:type="dxa"/>
            <w:vMerge w:val="continue"/>
            <w:tcBorders>
              <w:top w:val="nil"/>
            </w:tcBorders>
            <w:vAlign w:val="center"/>
          </w:tcPr>
          <w:p>
            <w:pPr>
              <w:jc w:val="center"/>
              <w:rPr>
                <w:rFonts w:hint="eastAsia" w:ascii="宋体" w:hAnsi="宋体" w:eastAsia="宋体" w:cs="宋体"/>
                <w:sz w:val="21"/>
                <w:szCs w:val="21"/>
                <w:highlight w:val="none"/>
              </w:rPr>
            </w:pPr>
          </w:p>
        </w:tc>
        <w:tc>
          <w:tcPr>
            <w:tcW w:w="1766" w:type="dxa"/>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医生信息维护</w:t>
            </w:r>
          </w:p>
        </w:tc>
        <w:tc>
          <w:tcPr>
            <w:tcW w:w="5377" w:type="dxa"/>
            <w:vAlign w:val="center"/>
          </w:tcPr>
          <w:p>
            <w:pPr>
              <w:pStyle w:val="53"/>
              <w:spacing w:before="23"/>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对医生信息进行维护，包括医生类型、相应类型对应</w:t>
            </w:r>
          </w:p>
          <w:p>
            <w:pPr>
              <w:pStyle w:val="53"/>
              <w:spacing w:before="43"/>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的权限等。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1" w:type="dxa"/>
            <w:vMerge w:val="continue"/>
            <w:tcBorders>
              <w:top w:val="nil"/>
            </w:tcBorders>
            <w:vAlign w:val="center"/>
          </w:tcPr>
          <w:p>
            <w:pPr>
              <w:jc w:val="center"/>
              <w:rPr>
                <w:rFonts w:hint="eastAsia" w:ascii="宋体" w:hAnsi="宋体" w:eastAsia="宋体" w:cs="宋体"/>
                <w:sz w:val="21"/>
                <w:szCs w:val="21"/>
                <w:highlight w:val="none"/>
              </w:rPr>
            </w:pPr>
          </w:p>
        </w:tc>
        <w:tc>
          <w:tcPr>
            <w:tcW w:w="1766" w:type="dxa"/>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组套维护</w:t>
            </w:r>
          </w:p>
        </w:tc>
        <w:tc>
          <w:tcPr>
            <w:tcW w:w="5377" w:type="dxa"/>
            <w:vAlign w:val="center"/>
          </w:tcPr>
          <w:p>
            <w:pPr>
              <w:pStyle w:val="53"/>
              <w:spacing w:before="23"/>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对医疗项目进行组合，形成组套项目。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1" w:type="dxa"/>
            <w:vMerge w:val="continue"/>
            <w:tcBorders>
              <w:top w:val="nil"/>
            </w:tcBorders>
            <w:vAlign w:val="center"/>
          </w:tcPr>
          <w:p>
            <w:pPr>
              <w:jc w:val="center"/>
              <w:rPr>
                <w:rFonts w:hint="eastAsia" w:ascii="宋体" w:hAnsi="宋体" w:eastAsia="宋体" w:cs="宋体"/>
                <w:sz w:val="21"/>
                <w:szCs w:val="21"/>
                <w:highlight w:val="none"/>
              </w:rPr>
            </w:pPr>
          </w:p>
        </w:tc>
        <w:tc>
          <w:tcPr>
            <w:tcW w:w="1766" w:type="dxa"/>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ICD-10 疾病</w:t>
            </w:r>
          </w:p>
          <w:p>
            <w:pPr>
              <w:pStyle w:val="53"/>
              <w:spacing w:before="43"/>
              <w:ind w:left="10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编码维护</w:t>
            </w:r>
          </w:p>
        </w:tc>
        <w:tc>
          <w:tcPr>
            <w:tcW w:w="5377" w:type="dxa"/>
            <w:vAlign w:val="center"/>
          </w:tcPr>
          <w:p>
            <w:pPr>
              <w:pStyle w:val="53"/>
              <w:spacing w:before="23"/>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 ICD-10 疾病信息进行维护。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361" w:type="dxa"/>
            <w:vAlign w:val="center"/>
          </w:tcPr>
          <w:p>
            <w:pPr>
              <w:pStyle w:val="53"/>
              <w:spacing w:before="7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接口管理</w:t>
            </w:r>
          </w:p>
        </w:tc>
        <w:tc>
          <w:tcPr>
            <w:tcW w:w="1766" w:type="dxa"/>
          </w:tcPr>
          <w:p>
            <w:pPr>
              <w:pStyle w:val="53"/>
              <w:spacing w:before="72" w:line="278" w:lineRule="auto"/>
              <w:ind w:right="17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接口供应商维护</w:t>
            </w:r>
          </w:p>
        </w:tc>
        <w:tc>
          <w:tcPr>
            <w:tcW w:w="5377" w:type="dxa"/>
          </w:tcPr>
          <w:p>
            <w:pPr>
              <w:pStyle w:val="53"/>
              <w:spacing w:before="23" w:line="278" w:lineRule="auto"/>
              <w:ind w:left="108" w:right="-15" w:firstLine="420"/>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提供接口供应商信息的维护，包含新增、修改、停用、</w:t>
            </w:r>
            <w:r>
              <w:rPr>
                <w:rFonts w:hint="eastAsia" w:ascii="宋体" w:hAnsi="宋体" w:eastAsia="宋体" w:cs="宋体"/>
                <w:sz w:val="21"/>
                <w:szCs w:val="21"/>
                <w:highlight w:val="none"/>
              </w:rPr>
              <w:t>启用、删除等功能。</w:t>
            </w:r>
          </w:p>
        </w:tc>
      </w:tr>
    </w:tbl>
    <w:p>
      <w:pPr>
        <w:pStyle w:val="10"/>
        <w:spacing w:before="9"/>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sz w:val="21"/>
          <w:szCs w:val="21"/>
          <w:highlight w:val="none"/>
        </w:rPr>
      </w:pPr>
    </w:p>
    <w:p>
      <w:pP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pStyle w:val="10"/>
        <w:rPr>
          <w:rFonts w:hint="eastAsia"/>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2.9、</w:t>
      </w:r>
      <w:r>
        <w:rPr>
          <w:rFonts w:hint="eastAsia"/>
          <w:sz w:val="21"/>
          <w:szCs w:val="21"/>
          <w:highlight w:val="none"/>
        </w:rPr>
        <w:t>住院病案管理系统</w:t>
      </w:r>
    </w:p>
    <w:p>
      <w:pPr>
        <w:pStyle w:val="10"/>
        <w:spacing w:before="11"/>
        <w:rPr>
          <w:rFonts w:hint="eastAsia" w:ascii="宋体" w:hAnsi="宋体" w:eastAsia="宋体" w:cs="宋体"/>
          <w:b/>
          <w:sz w:val="21"/>
          <w:szCs w:val="21"/>
          <w:highlight w:val="none"/>
        </w:rPr>
      </w:pPr>
    </w:p>
    <w:tbl>
      <w:tblPr>
        <w:tblStyle w:val="23"/>
        <w:tblW w:w="0" w:type="auto"/>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1800"/>
        <w:gridCol w:w="5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800"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343"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4" w:hRule="atLeast"/>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首页管理</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病案首页管理</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按条件检索出院病人：支持床号、住院号、姓名、</w:t>
            </w:r>
            <w:r>
              <w:rPr>
                <w:rFonts w:hint="eastAsia" w:ascii="宋体" w:hAnsi="宋体" w:eastAsia="宋体" w:cs="宋体"/>
                <w:sz w:val="21"/>
                <w:szCs w:val="21"/>
                <w:highlight w:val="none"/>
              </w:rPr>
              <w:t>拼音码检索录入，以及条件（</w:t>
            </w:r>
            <w:r>
              <w:rPr>
                <w:rFonts w:hint="eastAsia" w:ascii="宋体" w:hAnsi="宋体" w:eastAsia="宋体" w:cs="宋体"/>
                <w:spacing w:val="-2"/>
                <w:sz w:val="21"/>
                <w:szCs w:val="21"/>
                <w:highlight w:val="none"/>
              </w:rPr>
              <w:t>如：科室、出院时间、记</w:t>
            </w:r>
            <w:r>
              <w:rPr>
                <w:rFonts w:hint="eastAsia" w:ascii="宋体" w:hAnsi="宋体" w:eastAsia="宋体" w:cs="宋体"/>
                <w:sz w:val="21"/>
                <w:szCs w:val="21"/>
                <w:highlight w:val="none"/>
              </w:rPr>
              <w:t>录时间）过滤检索。</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显示出院病人列表：可查看</w:t>
            </w:r>
            <w:r>
              <w:rPr>
                <w:rFonts w:hint="eastAsia" w:cs="宋体"/>
                <w:spacing w:val="-1"/>
                <w:sz w:val="21"/>
                <w:szCs w:val="21"/>
                <w:highlight w:val="none"/>
                <w:lang w:eastAsia="zh-CN"/>
              </w:rPr>
              <w:t>病人是否</w:t>
            </w:r>
            <w:r>
              <w:rPr>
                <w:rFonts w:hint="eastAsia" w:ascii="宋体" w:hAnsi="宋体" w:eastAsia="宋体" w:cs="宋体"/>
                <w:spacing w:val="-1"/>
                <w:sz w:val="21"/>
                <w:szCs w:val="21"/>
                <w:highlight w:val="none"/>
              </w:rPr>
              <w:t>已写首页及</w:t>
            </w:r>
            <w:r>
              <w:rPr>
                <w:rFonts w:hint="eastAsia" w:ascii="宋体" w:hAnsi="宋体" w:eastAsia="宋体" w:cs="宋体"/>
                <w:sz w:val="21"/>
                <w:szCs w:val="21"/>
                <w:highlight w:val="none"/>
              </w:rPr>
              <w:t>病人住院相关信息。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病案首页分为单页操作（仅需写病案首页）、多页操作（需填写病案附页的情况）。医院根据实际需要进行相关配置。</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病案类型切换：通过切换类型，支持医生可录入中医病案、西医病案。</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新增病案：支持读取病人信息、医生站病案信息读入两种方式。医院根据实际需要进行相关配置。</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修改病案。</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更新数据：包括全部数据、基本信息、费用数据、出院诊断、手术操作的更新。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支持清空、取消、打印功能。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支持可由医院定义的本地病案首页格式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回收管理</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病案回收管理</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列表展示住院病人信息，可查看住院相关信息及回收相关信息。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条件过滤查询病人信息，便于精确定位病人支持查看病人完整电子病历。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支持回收、取消回收病历、回收同时归档病历。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病案查询</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展示已填写病案首页且已回收病历患者（包含住院相关信息以及病案借阅信息）。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条件检索：支持普通条件检索及高级条件检索。 </w:t>
            </w:r>
            <w:r>
              <w:rPr>
                <w:rFonts w:hint="eastAsia" w:ascii="宋体" w:hAnsi="宋体" w:eastAsia="宋体" w:cs="宋体"/>
                <w:spacing w:val="-3"/>
                <w:sz w:val="21"/>
                <w:szCs w:val="21"/>
                <w:highlight w:val="none"/>
              </w:rPr>
              <w:t xml:space="preserve">高级条件检索：可用病案中所有项目进行 </w:t>
            </w:r>
            <w:r>
              <w:rPr>
                <w:rFonts w:hint="eastAsia" w:ascii="宋体" w:hAnsi="宋体" w:eastAsia="宋体" w:cs="宋体"/>
                <w:sz w:val="21"/>
                <w:szCs w:val="21"/>
                <w:highlight w:val="none"/>
              </w:rPr>
              <w:t>AND</w:t>
            </w:r>
            <w:r>
              <w:rPr>
                <w:rFonts w:hint="eastAsia" w:ascii="宋体" w:hAnsi="宋体" w:eastAsia="宋体" w:cs="宋体"/>
                <w:spacing w:val="-36"/>
                <w:sz w:val="21"/>
                <w:szCs w:val="21"/>
                <w:highlight w:val="none"/>
              </w:rPr>
              <w:t xml:space="preserve"> 和 </w:t>
            </w:r>
            <w:r>
              <w:rPr>
                <w:rFonts w:hint="eastAsia" w:ascii="宋体" w:hAnsi="宋体" w:eastAsia="宋体" w:cs="宋体"/>
                <w:spacing w:val="-8"/>
                <w:sz w:val="21"/>
                <w:szCs w:val="21"/>
                <w:highlight w:val="none"/>
              </w:rPr>
              <w:t>OR</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关系查询，并且支持多个层次的逻辑。类似同时查询出男性高血压患者和女性糖尿病患者。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病案项目：查看病人病案的详情目录。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病案示踪：追踪病人病案的借阅历史。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登记簿</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登记簿</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分类查看登记簿，支持出院病人</w:t>
            </w:r>
            <w:r>
              <w:rPr>
                <w:rFonts w:hint="eastAsia" w:cs="宋体"/>
                <w:sz w:val="21"/>
                <w:szCs w:val="21"/>
                <w:highlight w:val="none"/>
                <w:lang w:eastAsia="zh-CN"/>
              </w:rPr>
              <w:t>登记簿</w:t>
            </w:r>
            <w:r>
              <w:rPr>
                <w:rFonts w:hint="eastAsia" w:ascii="宋体" w:hAnsi="宋体" w:eastAsia="宋体" w:cs="宋体"/>
                <w:sz w:val="21"/>
                <w:szCs w:val="21"/>
                <w:highlight w:val="none"/>
              </w:rPr>
              <w:t>、死亡病人</w:t>
            </w:r>
            <w:r>
              <w:rPr>
                <w:rFonts w:hint="eastAsia" w:cs="宋体"/>
                <w:sz w:val="21"/>
                <w:szCs w:val="21"/>
                <w:highlight w:val="none"/>
                <w:lang w:eastAsia="zh-CN"/>
              </w:rPr>
              <w:t>登记簿</w:t>
            </w:r>
            <w:r>
              <w:rPr>
                <w:rFonts w:hint="eastAsia" w:ascii="宋体" w:hAnsi="宋体" w:eastAsia="宋体" w:cs="宋体"/>
                <w:sz w:val="21"/>
                <w:szCs w:val="21"/>
                <w:highlight w:val="none"/>
              </w:rPr>
              <w:t>、手术病人</w:t>
            </w:r>
            <w:r>
              <w:rPr>
                <w:rFonts w:hint="eastAsia" w:cs="宋体"/>
                <w:sz w:val="21"/>
                <w:szCs w:val="21"/>
                <w:highlight w:val="none"/>
                <w:lang w:eastAsia="zh-CN"/>
              </w:rPr>
              <w:t>登记簿</w:t>
            </w:r>
            <w:r>
              <w:rPr>
                <w:rFonts w:hint="eastAsia" w:ascii="宋体" w:hAnsi="宋体" w:eastAsia="宋体" w:cs="宋体"/>
                <w:sz w:val="21"/>
                <w:szCs w:val="21"/>
                <w:highlight w:val="none"/>
              </w:rPr>
              <w:t>、传染病人</w:t>
            </w:r>
            <w:r>
              <w:rPr>
                <w:rFonts w:hint="eastAsia" w:cs="宋体"/>
                <w:sz w:val="21"/>
                <w:szCs w:val="21"/>
                <w:highlight w:val="none"/>
                <w:lang w:eastAsia="zh-CN"/>
              </w:rPr>
              <w:t>登记簿</w:t>
            </w:r>
            <w:r>
              <w:rPr>
                <w:rFonts w:hint="eastAsia" w:ascii="宋体" w:hAnsi="宋体" w:eastAsia="宋体" w:cs="宋体"/>
                <w:sz w:val="21"/>
                <w:szCs w:val="21"/>
                <w:highlight w:val="none"/>
              </w:rPr>
              <w:t>等等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条件查询已填写登记簿的患者。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打印登记簿数据。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36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日报管理</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病区日报</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一次性填报一个病区的日报数据，显示日报列表显示是否填报，并显示日报详细数据。</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增加、修改、提交日报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支持软件自动查询统计日报数据并填入支持自定义日报项目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病区日报汇</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支持病区日报所有功能，但一次性填报多个病区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门诊日报汇</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类似病区日报汇总功能，填报门诊日报数据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6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借阅管理</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出借管理</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支持按查询条件展示已经录入病案的病人信息借出病案</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支持查看病人病历、查看病人的病案详情支持定义不同职务医生可借阅量</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支持高级查询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6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借阅归还</w:t>
            </w:r>
          </w:p>
        </w:tc>
        <w:tc>
          <w:tcPr>
            <w:tcW w:w="5343"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条件查询借阅情况</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查看借阅病历明细记录支持部分归还</w:t>
            </w:r>
          </w:p>
        </w:tc>
      </w:tr>
    </w:tbl>
    <w:p>
      <w:pPr>
        <w:pStyle w:val="10"/>
        <w:rPr>
          <w:rFonts w:hint="eastAsia" w:ascii="宋体" w:hAnsi="宋体" w:eastAsia="宋体" w:cs="宋体"/>
          <w:b/>
          <w:sz w:val="21"/>
          <w:szCs w:val="21"/>
          <w:highlight w:val="none"/>
        </w:rPr>
      </w:pPr>
    </w:p>
    <w:p>
      <w:pPr>
        <w:pStyle w:val="10"/>
        <w:spacing w:before="2"/>
        <w:rPr>
          <w:rFonts w:hint="eastAsia" w:ascii="宋体" w:hAnsi="宋体" w:eastAsia="宋体" w:cs="宋体"/>
          <w:b/>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2.10、</w:t>
      </w:r>
      <w:r>
        <w:rPr>
          <w:rFonts w:hint="eastAsia"/>
          <w:sz w:val="21"/>
          <w:szCs w:val="21"/>
          <w:highlight w:val="none"/>
        </w:rPr>
        <w:t>门诊医生工作站（含门诊医生智能全结构化电子病历）</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938"/>
        <w:gridCol w:w="5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69"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938"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664"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69"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诊疗管理</w:t>
            </w:r>
          </w:p>
        </w:tc>
        <w:tc>
          <w:tcPr>
            <w:tcW w:w="193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建档挂号</w:t>
            </w:r>
          </w:p>
        </w:tc>
        <w:tc>
          <w:tcPr>
            <w:tcW w:w="566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支持初诊病人建档</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支持接诊、换号、挂号、读取诊疗卡功能，支持与排号系统接口</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支持当日医生的门诊日志查看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69"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3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病历浏览</w:t>
            </w:r>
          </w:p>
        </w:tc>
        <w:tc>
          <w:tcPr>
            <w:tcW w:w="566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一键直接调出患者的历次门诊、住院就诊完整病历查阅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支持按时间、主要疾病两个维度显示患者历次就诊</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完整病历。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69"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93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就诊主要信</w:t>
            </w:r>
          </w:p>
        </w:tc>
        <w:tc>
          <w:tcPr>
            <w:tcW w:w="566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支持在就诊页头直接显示患者姓名、性别、年龄、</w:t>
            </w:r>
          </w:p>
        </w:tc>
      </w:tr>
    </w:tbl>
    <w:p>
      <w:pPr>
        <w:spacing w:after="0"/>
        <w:rPr>
          <w:rFonts w:hint="eastAsia" w:ascii="宋体" w:hAnsi="宋体" w:eastAsia="宋体" w:cs="宋体"/>
          <w:sz w:val="21"/>
          <w:szCs w:val="21"/>
          <w:highlight w:val="none"/>
        </w:rPr>
        <w:sectPr>
          <w:pgSz w:w="11910" w:h="16840"/>
          <w:pgMar w:top="1420" w:right="520" w:bottom="1160" w:left="620" w:header="0" w:footer="895" w:gutter="0"/>
          <w:pgNumType w:fmt="decimal"/>
          <w:cols w:space="720" w:num="1"/>
        </w:sectPr>
      </w:pPr>
    </w:p>
    <w:tbl>
      <w:tblPr>
        <w:tblStyle w:val="23"/>
        <w:tblW w:w="0" w:type="auto"/>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423"/>
        <w:gridCol w:w="1394"/>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77" w:type="dxa"/>
            <w:vMerge w:val="restart"/>
          </w:tcPr>
          <w:p>
            <w:pPr>
              <w:pStyle w:val="53"/>
              <w:rPr>
                <w:rFonts w:hint="eastAsia" w:ascii="宋体" w:hAnsi="宋体" w:eastAsia="宋体" w:cs="宋体"/>
                <w:sz w:val="21"/>
                <w:szCs w:val="21"/>
                <w:highlight w:val="none"/>
              </w:rPr>
            </w:pPr>
          </w:p>
        </w:tc>
        <w:tc>
          <w:tcPr>
            <w:tcW w:w="1817" w:type="dxa"/>
            <w:gridSpan w:val="2"/>
            <w:vAlign w:val="center"/>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息</w:t>
            </w:r>
          </w:p>
        </w:tc>
        <w:tc>
          <w:tcPr>
            <w:tcW w:w="5310" w:type="dxa"/>
          </w:tcPr>
          <w:p>
            <w:pPr>
              <w:pStyle w:val="53"/>
              <w:spacing w:before="2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诊断、过敏药物等核心信息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诊断</w:t>
            </w:r>
          </w:p>
        </w:tc>
        <w:tc>
          <w:tcPr>
            <w:tcW w:w="5310" w:type="dxa"/>
          </w:tcPr>
          <w:p>
            <w:pPr>
              <w:pStyle w:val="53"/>
              <w:spacing w:before="23" w:line="278" w:lineRule="auto"/>
              <w:ind w:left="527" w:right="571"/>
              <w:rPr>
                <w:rFonts w:hint="eastAsia" w:ascii="宋体" w:hAnsi="宋体" w:eastAsia="宋体" w:cs="宋体"/>
                <w:sz w:val="21"/>
                <w:szCs w:val="21"/>
                <w:highlight w:val="none"/>
              </w:rPr>
            </w:pPr>
            <w:r>
              <w:rPr>
                <w:rFonts w:hint="eastAsia" w:ascii="宋体" w:hAnsi="宋体" w:eastAsia="宋体" w:cs="宋体"/>
                <w:sz w:val="21"/>
                <w:szCs w:val="21"/>
                <w:highlight w:val="none"/>
              </w:rPr>
              <w:t>支持新增、修改、删除、重用历史诊断功能。支持调用个人、科室、全院常用诊断</w:t>
            </w:r>
          </w:p>
          <w:p>
            <w:pPr>
              <w:pStyle w:val="53"/>
              <w:spacing w:line="269" w:lineRule="exact"/>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支持中西医结合诊断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过敏药物录入</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支持维护患者过敏药物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spacing w:before="17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门诊病历</w:t>
            </w:r>
          </w:p>
        </w:tc>
        <w:tc>
          <w:tcPr>
            <w:tcW w:w="5310" w:type="dxa"/>
          </w:tcPr>
          <w:p>
            <w:pPr>
              <w:pStyle w:val="53"/>
              <w:spacing w:before="23"/>
              <w:ind w:left="527" w:right="-15"/>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提供门诊病历的新增、修改、查看、词条打印等功能。</w:t>
            </w:r>
          </w:p>
          <w:p>
            <w:pPr>
              <w:pStyle w:val="53"/>
              <w:spacing w:before="4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支持可由医院定义的各种门诊病历格式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处方信息</w:t>
            </w:r>
          </w:p>
        </w:tc>
        <w:tc>
          <w:tcPr>
            <w:tcW w:w="5310" w:type="dxa"/>
          </w:tcPr>
          <w:p>
            <w:pPr>
              <w:pStyle w:val="53"/>
              <w:spacing w:before="23" w:line="278" w:lineRule="auto"/>
              <w:ind w:left="107" w:right="-15" w:firstLine="420"/>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处方支持新增、修改、删除、处方引用</w:t>
            </w:r>
            <w:r>
              <w:rPr>
                <w:rFonts w:hint="eastAsia" w:ascii="宋体" w:hAnsi="宋体" w:eastAsia="宋体" w:cs="宋体"/>
                <w:sz w:val="21"/>
                <w:szCs w:val="21"/>
                <w:highlight w:val="none"/>
              </w:rPr>
              <w:t>（</w:t>
            </w:r>
            <w:r>
              <w:rPr>
                <w:rFonts w:hint="eastAsia" w:ascii="宋体" w:hAnsi="宋体" w:eastAsia="宋体" w:cs="宋体"/>
                <w:spacing w:val="-12"/>
                <w:sz w:val="21"/>
                <w:szCs w:val="21"/>
                <w:highlight w:val="none"/>
              </w:rPr>
              <w:t>重用、互用</w:t>
            </w:r>
            <w:r>
              <w:rPr>
                <w:rFonts w:hint="eastAsia" w:ascii="宋体" w:hAnsi="宋体" w:eastAsia="宋体" w:cs="宋体"/>
                <w:sz w:val="21"/>
                <w:szCs w:val="21"/>
                <w:highlight w:val="none"/>
              </w:rPr>
              <w:t>） 功能</w:t>
            </w:r>
          </w:p>
          <w:p>
            <w:pPr>
              <w:pStyle w:val="53"/>
              <w:spacing w:line="269" w:lineRule="exact"/>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支持不同处方不同诊断功能</w:t>
            </w:r>
          </w:p>
          <w:p>
            <w:pPr>
              <w:pStyle w:val="53"/>
              <w:spacing w:before="4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下达患者过敏药物支持进行警示提醒</w:t>
            </w:r>
          </w:p>
          <w:p>
            <w:pPr>
              <w:pStyle w:val="53"/>
              <w:spacing w:before="43" w:line="278" w:lineRule="auto"/>
              <w:ind w:left="107" w:right="151"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支持协定处方快速下达功能、支持该患者</w:t>
            </w:r>
            <w:r>
              <w:rPr>
                <w:rFonts w:hint="eastAsia" w:cs="宋体"/>
                <w:sz w:val="21"/>
                <w:szCs w:val="21"/>
                <w:highlight w:val="none"/>
                <w:lang w:eastAsia="zh-CN"/>
              </w:rPr>
              <w:t>和其他</w:t>
            </w:r>
            <w:r>
              <w:rPr>
                <w:rFonts w:hint="eastAsia" w:ascii="宋体" w:hAnsi="宋体" w:eastAsia="宋体" w:cs="宋体"/>
                <w:sz w:val="21"/>
                <w:szCs w:val="21"/>
                <w:highlight w:val="none"/>
              </w:rPr>
              <w:t>患者历史处方引用功能。</w:t>
            </w:r>
          </w:p>
          <w:p>
            <w:pPr>
              <w:pStyle w:val="53"/>
              <w:spacing w:line="278" w:lineRule="auto"/>
              <w:ind w:left="527" w:right="991"/>
              <w:rPr>
                <w:rFonts w:hint="eastAsia" w:ascii="宋体" w:hAnsi="宋体" w:eastAsia="宋体" w:cs="宋体"/>
                <w:sz w:val="21"/>
                <w:szCs w:val="21"/>
                <w:highlight w:val="none"/>
              </w:rPr>
            </w:pPr>
            <w:r>
              <w:rPr>
                <w:rFonts w:hint="eastAsia" w:ascii="宋体" w:hAnsi="宋体" w:eastAsia="宋体" w:cs="宋体"/>
                <w:sz w:val="21"/>
                <w:szCs w:val="21"/>
                <w:highlight w:val="none"/>
              </w:rPr>
              <w:t>支持在同一界面内直接应用协定处方功能支持中草药处方、支持按类型选择中草药</w:t>
            </w:r>
          </w:p>
          <w:p>
            <w:pPr>
              <w:pStyle w:val="53"/>
              <w:spacing w:line="269" w:lineRule="exact"/>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支持过敏药物二次签名，支持毒麻药品补充信息录</w:t>
            </w:r>
          </w:p>
          <w:p>
            <w:pPr>
              <w:pStyle w:val="53"/>
              <w:spacing w:before="42"/>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门诊医嘱</w:t>
            </w:r>
          </w:p>
        </w:tc>
        <w:tc>
          <w:tcPr>
            <w:tcW w:w="5310" w:type="dxa"/>
          </w:tcPr>
          <w:p>
            <w:pPr>
              <w:pStyle w:val="53"/>
              <w:spacing w:before="23" w:line="278" w:lineRule="auto"/>
              <w:ind w:left="107" w:right="151"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提供医疗医嘱、检查、检验、治疗申请单的新增、修改、删除、医嘱引用（重用、互用）、辅助医嘱</w:t>
            </w:r>
          </w:p>
          <w:p>
            <w:pPr>
              <w:pStyle w:val="53"/>
              <w:spacing w:line="278" w:lineRule="auto"/>
              <w:ind w:left="527" w:right="1831"/>
              <w:rPr>
                <w:rFonts w:hint="eastAsia" w:ascii="宋体" w:hAnsi="宋体" w:eastAsia="宋体" w:cs="宋体"/>
                <w:sz w:val="21"/>
                <w:szCs w:val="21"/>
                <w:highlight w:val="none"/>
              </w:rPr>
            </w:pPr>
            <w:r>
              <w:rPr>
                <w:rFonts w:hint="eastAsia" w:ascii="宋体" w:hAnsi="宋体" w:eastAsia="宋体" w:cs="宋体"/>
                <w:sz w:val="21"/>
                <w:szCs w:val="21"/>
                <w:highlight w:val="none"/>
              </w:rPr>
              <w:t>、申请单与医嘱单打印等功能。支持查看各医嘱费用情况</w:t>
            </w:r>
          </w:p>
          <w:p>
            <w:pPr>
              <w:pStyle w:val="53"/>
              <w:spacing w:line="269" w:lineRule="exact"/>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同时支持按表格简单选择和在医院申请单比较复杂</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时按医院申请单原样调用两种方式下达申请单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检查检验</w:t>
            </w:r>
          </w:p>
        </w:tc>
        <w:tc>
          <w:tcPr>
            <w:tcW w:w="5310" w:type="dxa"/>
          </w:tcPr>
          <w:p>
            <w:pPr>
              <w:pStyle w:val="53"/>
              <w:spacing w:before="23" w:line="278" w:lineRule="auto"/>
              <w:ind w:left="527" w:right="15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支持按申请和按报告两种方式查看检查检验信息 </w:t>
            </w:r>
            <w:r>
              <w:rPr>
                <w:rFonts w:hint="eastAsia" w:ascii="宋体" w:hAnsi="宋体" w:eastAsia="宋体" w:cs="宋体"/>
                <w:spacing w:val="-1"/>
                <w:sz w:val="21"/>
                <w:szCs w:val="21"/>
                <w:highlight w:val="none"/>
              </w:rPr>
              <w:t>对于有多个报告，支持在不打开具体报告单时能查</w:t>
            </w:r>
          </w:p>
          <w:p>
            <w:pPr>
              <w:pStyle w:val="53"/>
              <w:spacing w:line="269" w:lineRule="exact"/>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看报告单核心信息</w:t>
            </w:r>
          </w:p>
          <w:p>
            <w:pPr>
              <w:pStyle w:val="53"/>
              <w:spacing w:before="2" w:line="310" w:lineRule="atLeast"/>
              <w:ind w:left="107" w:right="151"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支持根据时间、名称、项目等条件快速过滤查看申请单、报告单，支持打印功能。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Borders>
              <w:top w:val="nil"/>
            </w:tcBorders>
          </w:tcPr>
          <w:p>
            <w:pPr>
              <w:rPr>
                <w:rFonts w:hint="eastAsia" w:ascii="宋体" w:hAnsi="宋体" w:eastAsia="宋体" w:cs="宋体"/>
                <w:sz w:val="21"/>
                <w:szCs w:val="21"/>
                <w:highlight w:val="none"/>
              </w:rPr>
            </w:pPr>
          </w:p>
        </w:tc>
        <w:tc>
          <w:tcPr>
            <w:tcW w:w="1817" w:type="dxa"/>
            <w:gridSpan w:val="2"/>
            <w:vAlign w:val="center"/>
          </w:tcPr>
          <w:p>
            <w:pPr>
              <w:pStyle w:val="53"/>
              <w:spacing w:before="17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入院证</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提供新增、修改、查看、打印功能。</w:t>
            </w:r>
          </w:p>
          <w:p>
            <w:pPr>
              <w:pStyle w:val="53"/>
              <w:spacing w:before="4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支持可由医院定义的各种入院证格式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restart"/>
          </w:tcPr>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spacing w:before="7"/>
              <w:rPr>
                <w:rFonts w:hint="eastAsia" w:ascii="宋体" w:hAnsi="宋体" w:eastAsia="宋体" w:cs="宋体"/>
                <w:b/>
                <w:sz w:val="21"/>
                <w:szCs w:val="21"/>
                <w:highlight w:val="none"/>
              </w:rPr>
            </w:pPr>
          </w:p>
          <w:p>
            <w:pPr>
              <w:pStyle w:val="53"/>
              <w:ind w:left="107"/>
              <w:rPr>
                <w:rFonts w:hint="eastAsia" w:ascii="宋体" w:hAnsi="宋体" w:eastAsia="宋体" w:cs="宋体"/>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rPr>
                <w:rFonts w:hint="eastAsia" w:ascii="宋体" w:hAnsi="宋体" w:eastAsia="宋体" w:cs="宋体"/>
                <w:b/>
                <w:sz w:val="21"/>
                <w:szCs w:val="21"/>
                <w:highlight w:val="none"/>
              </w:rPr>
            </w:pPr>
          </w:p>
          <w:p>
            <w:pPr>
              <w:pStyle w:val="53"/>
              <w:spacing w:before="8"/>
              <w:rPr>
                <w:rFonts w:hint="eastAsia" w:ascii="宋体" w:hAnsi="宋体" w:eastAsia="宋体" w:cs="宋体"/>
                <w:b/>
                <w:sz w:val="21"/>
                <w:szCs w:val="21"/>
                <w:highlight w:val="none"/>
              </w:rPr>
            </w:pPr>
          </w:p>
          <w:p>
            <w:pPr>
              <w:pStyle w:val="5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系统维护</w:t>
            </w:r>
          </w:p>
        </w:tc>
        <w:tc>
          <w:tcPr>
            <w:tcW w:w="1817" w:type="dxa"/>
            <w:gridSpan w:val="2"/>
            <w:vAlign w:val="center"/>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疾病</w:t>
            </w:r>
            <w:r>
              <w:rPr>
                <w:rFonts w:hint="eastAsia" w:cs="宋体"/>
                <w:sz w:val="21"/>
                <w:szCs w:val="21"/>
                <w:highlight w:val="none"/>
                <w:lang w:eastAsia="zh-CN"/>
              </w:rPr>
              <w:t>症候</w:t>
            </w:r>
            <w:r>
              <w:rPr>
                <w:rFonts w:hint="eastAsia" w:ascii="宋体" w:hAnsi="宋体" w:eastAsia="宋体" w:cs="宋体"/>
                <w:sz w:val="21"/>
                <w:szCs w:val="21"/>
                <w:highlight w:val="none"/>
              </w:rPr>
              <w:t>维护</w:t>
            </w:r>
          </w:p>
        </w:tc>
        <w:tc>
          <w:tcPr>
            <w:tcW w:w="5310" w:type="dxa"/>
          </w:tcPr>
          <w:p>
            <w:pPr>
              <w:pStyle w:val="53"/>
              <w:spacing w:before="23"/>
              <w:ind w:right="781"/>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提供西医诊断和中医疾病与症候维护功能。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Pr>
          <w:p>
            <w:pPr>
              <w:rPr>
                <w:rFonts w:hint="eastAsia" w:ascii="宋体" w:hAnsi="宋体" w:eastAsia="宋体" w:cs="宋体"/>
                <w:sz w:val="21"/>
                <w:szCs w:val="21"/>
                <w:highlight w:val="none"/>
              </w:rPr>
            </w:pPr>
          </w:p>
        </w:tc>
        <w:tc>
          <w:tcPr>
            <w:tcW w:w="1817" w:type="dxa"/>
            <w:gridSpan w:val="2"/>
            <w:vAlign w:val="center"/>
          </w:tcPr>
          <w:p>
            <w:pPr>
              <w:pStyle w:val="53"/>
              <w:spacing w:before="4"/>
              <w:jc w:val="center"/>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p>
          <w:p>
            <w:pPr>
              <w:pStyle w:val="53"/>
              <w:spacing w:before="23"/>
              <w:ind w:left="10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常用诊断维护</w:t>
            </w:r>
          </w:p>
        </w:tc>
        <w:tc>
          <w:tcPr>
            <w:tcW w:w="5310" w:type="dxa"/>
          </w:tcPr>
          <w:p>
            <w:pPr>
              <w:pStyle w:val="53"/>
              <w:spacing w:before="23"/>
              <w:ind w:right="781"/>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支持按医生、科室进行分类维护常用诊断。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Pr>
          <w:p>
            <w:pPr>
              <w:rPr>
                <w:rFonts w:hint="eastAsia" w:ascii="宋体" w:hAnsi="宋体" w:eastAsia="宋体" w:cs="宋体"/>
                <w:sz w:val="21"/>
                <w:szCs w:val="21"/>
                <w:highlight w:val="none"/>
              </w:rPr>
            </w:pPr>
          </w:p>
        </w:tc>
        <w:tc>
          <w:tcPr>
            <w:tcW w:w="1817" w:type="dxa"/>
            <w:gridSpan w:val="2"/>
            <w:vAlign w:val="center"/>
          </w:tcPr>
          <w:p>
            <w:pPr>
              <w:pStyle w:val="53"/>
              <w:spacing w:before="23"/>
              <w:ind w:left="52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医疗医嘱项</w:t>
            </w:r>
          </w:p>
          <w:p>
            <w:pPr>
              <w:pStyle w:val="53"/>
              <w:spacing w:before="43"/>
              <w:ind w:left="10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目维护</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主要用于配置维护医疗医嘱项目和费用对应关系。</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主要包括新增、修改、停用。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Pr>
          <w:p>
            <w:pPr>
              <w:rPr>
                <w:rFonts w:hint="eastAsia" w:ascii="宋体" w:hAnsi="宋体" w:eastAsia="宋体" w:cs="宋体"/>
                <w:sz w:val="21"/>
                <w:szCs w:val="21"/>
                <w:highlight w:val="none"/>
              </w:rPr>
            </w:pPr>
          </w:p>
        </w:tc>
        <w:tc>
          <w:tcPr>
            <w:tcW w:w="1817" w:type="dxa"/>
            <w:gridSpan w:val="2"/>
            <w:vAlign w:val="center"/>
          </w:tcPr>
          <w:p>
            <w:pPr>
              <w:pStyle w:val="53"/>
              <w:spacing w:before="4"/>
              <w:jc w:val="center"/>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p>
          <w:p>
            <w:pPr>
              <w:pStyle w:val="53"/>
              <w:spacing w:before="23"/>
              <w:ind w:left="10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组合医嘱维护</w:t>
            </w:r>
          </w:p>
        </w:tc>
        <w:tc>
          <w:tcPr>
            <w:tcW w:w="5310" w:type="dxa"/>
          </w:tcPr>
          <w:p>
            <w:pPr>
              <w:pStyle w:val="53"/>
              <w:spacing w:before="23"/>
              <w:ind w:left="527" w:right="-1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支持按医生、科室分类维护常用的医嘱，提供新增、</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修改、删除等功能。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Pr>
          <w:p>
            <w:pPr>
              <w:rPr>
                <w:rFonts w:hint="eastAsia" w:ascii="宋体" w:hAnsi="宋体" w:eastAsia="宋体" w:cs="宋体"/>
                <w:sz w:val="21"/>
                <w:szCs w:val="21"/>
                <w:highlight w:val="none"/>
              </w:rPr>
            </w:pPr>
          </w:p>
        </w:tc>
        <w:tc>
          <w:tcPr>
            <w:tcW w:w="1817" w:type="dxa"/>
            <w:gridSpan w:val="2"/>
            <w:vAlign w:val="center"/>
          </w:tcPr>
          <w:p>
            <w:pPr>
              <w:pStyle w:val="53"/>
              <w:spacing w:before="4"/>
              <w:jc w:val="center"/>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p>
          <w:p>
            <w:pPr>
              <w:pStyle w:val="53"/>
              <w:spacing w:before="23"/>
              <w:ind w:left="10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协定处方维护</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按医生、科室进行分类维护，提供西药、中成药、</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中草药等处方新增、修改、删除等操作。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Pr>
          <w:p>
            <w:pPr>
              <w:rPr>
                <w:rFonts w:hint="eastAsia" w:ascii="宋体" w:hAnsi="宋体" w:eastAsia="宋体" w:cs="宋体"/>
                <w:sz w:val="21"/>
                <w:szCs w:val="21"/>
                <w:highlight w:val="none"/>
              </w:rPr>
            </w:pPr>
          </w:p>
        </w:tc>
        <w:tc>
          <w:tcPr>
            <w:tcW w:w="1817" w:type="dxa"/>
            <w:gridSpan w:val="2"/>
            <w:vAlign w:val="center"/>
          </w:tcPr>
          <w:p>
            <w:pPr>
              <w:pStyle w:val="53"/>
              <w:spacing w:before="179"/>
              <w:ind w:left="52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词条维护</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提供按个人或科室对词条目录、词条内容的新增、</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修改、删除等功能。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restart"/>
          </w:tcPr>
          <w:p>
            <w:pPr>
              <w:pStyle w:val="53"/>
              <w:spacing w:line="278" w:lineRule="auto"/>
              <w:ind w:right="20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查询与统计</w:t>
            </w: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询</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门诊日志查</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根据过滤条件查询门诊病人的信息，双击可查看</w:t>
            </w:r>
            <w:r>
              <w:rPr>
                <w:rFonts w:hint="eastAsia" w:cs="宋体"/>
                <w:sz w:val="21"/>
                <w:szCs w:val="21"/>
                <w:highlight w:val="none"/>
                <w:lang w:eastAsia="zh-CN"/>
              </w:rPr>
              <w:t>门诊</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诊特定病人的门诊日志，提供导出 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询</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门诊处方查</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根据过滤条件查询门诊病人的处方信息，双击可查</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看特定病人的处方明细，提供导出 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询</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门诊挂号查</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根据过滤条件查询门诊病人的挂号信息，提供导出</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询</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药品库存查</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根据过滤条件查询医院药品库存信息，提供导出</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门诊挂号统</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根据过滤条件对门诊挂号的实收金额、挂号费、退</w:t>
            </w:r>
          </w:p>
          <w:p>
            <w:pPr>
              <w:pStyle w:val="53"/>
              <w:spacing w:before="43"/>
              <w:ind w:left="107" w:right="-15"/>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 xml:space="preserve">号数量、退费金额总和进行统计，提供导出 </w:t>
            </w:r>
            <w:r>
              <w:rPr>
                <w:rFonts w:hint="eastAsia" w:ascii="宋体" w:hAnsi="宋体" w:eastAsia="宋体" w:cs="宋体"/>
                <w:sz w:val="21"/>
                <w:szCs w:val="21"/>
                <w:highlight w:val="none"/>
              </w:rPr>
              <w:t>Excel</w:t>
            </w:r>
            <w:r>
              <w:rPr>
                <w:rFonts w:hint="eastAsia" w:ascii="宋体" w:hAnsi="宋体" w:eastAsia="宋体" w:cs="宋体"/>
                <w:spacing w:val="-14"/>
                <w:sz w:val="21"/>
                <w:szCs w:val="21"/>
                <w:highlight w:val="none"/>
              </w:rPr>
              <w:t xml:space="preserve">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门诊日志统</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根据过滤条件对各个科室门诊数量进行统计，提供</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导出 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4"/>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w:t>
            </w:r>
          </w:p>
        </w:tc>
        <w:tc>
          <w:tcPr>
            <w:tcW w:w="1394" w:type="dxa"/>
            <w:tcBorders>
              <w:left w:val="nil"/>
            </w:tcBorders>
          </w:tcPr>
          <w:p>
            <w:pPr>
              <w:pStyle w:val="53"/>
              <w:spacing w:before="23"/>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病人信息</w:t>
            </w:r>
            <w:r>
              <w:rPr>
                <w:rFonts w:hint="eastAsia" w:cs="宋体"/>
                <w:sz w:val="21"/>
                <w:szCs w:val="21"/>
                <w:highlight w:val="none"/>
                <w:lang w:eastAsia="zh-CN"/>
              </w:rPr>
              <w:t>系统</w:t>
            </w:r>
          </w:p>
        </w:tc>
        <w:tc>
          <w:tcPr>
            <w:tcW w:w="5310" w:type="dxa"/>
          </w:tcPr>
          <w:p>
            <w:pPr>
              <w:pStyle w:val="53"/>
              <w:spacing w:before="23"/>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根据所选择的统计方式，对不同统计方式下的病人</w:t>
            </w:r>
          </w:p>
          <w:p>
            <w:pPr>
              <w:pStyle w:val="53"/>
              <w:spacing w:before="43"/>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总数量进行统计，提供导出 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13"/>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w:t>
            </w:r>
          </w:p>
        </w:tc>
        <w:tc>
          <w:tcPr>
            <w:tcW w:w="1394" w:type="dxa"/>
            <w:tcBorders>
              <w:left w:val="nil"/>
            </w:tcBorders>
          </w:tcPr>
          <w:p>
            <w:pPr>
              <w:pStyle w:val="53"/>
              <w:spacing w:before="179"/>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病人费用统</w:t>
            </w:r>
          </w:p>
        </w:tc>
        <w:tc>
          <w:tcPr>
            <w:tcW w:w="5310" w:type="dxa"/>
          </w:tcPr>
          <w:p>
            <w:pPr>
              <w:pStyle w:val="53"/>
              <w:spacing w:before="23" w:line="278" w:lineRule="auto"/>
              <w:ind w:left="107" w:right="151"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根据所选择的统计方式，对收费笔数、收费金额、退费笔数、退费金额、实收金额、应收金额和优惠金额</w:t>
            </w:r>
          </w:p>
          <w:p>
            <w:pPr>
              <w:pStyle w:val="53"/>
              <w:spacing w:line="269" w:lineRule="exact"/>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行统计，提供导出 Excel 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77" w:type="dxa"/>
            <w:vMerge w:val="continue"/>
            <w:tcBorders>
              <w:top w:val="nil"/>
            </w:tcBorders>
          </w:tcPr>
          <w:p>
            <w:pPr>
              <w:rPr>
                <w:rFonts w:hint="eastAsia" w:ascii="宋体" w:hAnsi="宋体" w:eastAsia="宋体" w:cs="宋体"/>
                <w:sz w:val="21"/>
                <w:szCs w:val="21"/>
                <w:highlight w:val="none"/>
              </w:rPr>
            </w:pPr>
          </w:p>
        </w:tc>
        <w:tc>
          <w:tcPr>
            <w:tcW w:w="423" w:type="dxa"/>
            <w:tcBorders>
              <w:right w:val="nil"/>
            </w:tcBorders>
          </w:tcPr>
          <w:p>
            <w:pPr>
              <w:pStyle w:val="53"/>
              <w:spacing w:before="13"/>
              <w:rPr>
                <w:rFonts w:hint="eastAsia" w:ascii="宋体" w:hAnsi="宋体" w:eastAsia="宋体" w:cs="宋体"/>
                <w:b/>
                <w:sz w:val="21"/>
                <w:szCs w:val="21"/>
                <w:highlight w:val="none"/>
              </w:rPr>
            </w:pPr>
          </w:p>
          <w:p>
            <w:pPr>
              <w:pStyle w:val="53"/>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w:t>
            </w:r>
          </w:p>
        </w:tc>
        <w:tc>
          <w:tcPr>
            <w:tcW w:w="1394" w:type="dxa"/>
            <w:tcBorders>
              <w:left w:val="nil"/>
            </w:tcBorders>
          </w:tcPr>
          <w:p>
            <w:pPr>
              <w:pStyle w:val="53"/>
              <w:spacing w:before="179"/>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门诊处方统</w:t>
            </w:r>
          </w:p>
        </w:tc>
        <w:tc>
          <w:tcPr>
            <w:tcW w:w="5310" w:type="dxa"/>
          </w:tcPr>
          <w:p>
            <w:pPr>
              <w:pStyle w:val="53"/>
              <w:spacing w:before="23" w:line="278" w:lineRule="auto"/>
              <w:ind w:left="107" w:right="151" w:firstLine="42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根据所选择的统计方式，对处方张数、剂数、应收金额合计、实收金额合计、退药金额、退药处方数量、</w:t>
            </w:r>
          </w:p>
          <w:p>
            <w:pPr>
              <w:pStyle w:val="53"/>
              <w:spacing w:line="269" w:lineRule="exact"/>
              <w:ind w:left="10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 xml:space="preserve">处方医生、开单科室进行统计，提供导出 </w:t>
            </w:r>
            <w:r>
              <w:rPr>
                <w:rFonts w:hint="eastAsia" w:ascii="宋体" w:hAnsi="宋体" w:eastAsia="宋体" w:cs="宋体"/>
                <w:sz w:val="21"/>
                <w:szCs w:val="21"/>
                <w:highlight w:val="none"/>
              </w:rPr>
              <w:t>Excel</w:t>
            </w:r>
            <w:r>
              <w:rPr>
                <w:rFonts w:hint="eastAsia" w:ascii="宋体" w:hAnsi="宋体" w:eastAsia="宋体" w:cs="宋体"/>
                <w:spacing w:val="-14"/>
                <w:sz w:val="21"/>
                <w:szCs w:val="21"/>
                <w:highlight w:val="none"/>
              </w:rPr>
              <w:t xml:space="preserve"> 功能。</w:t>
            </w:r>
          </w:p>
        </w:tc>
      </w:tr>
    </w:tbl>
    <w:p>
      <w:pPr>
        <w:pStyle w:val="10"/>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2.11、</w:t>
      </w:r>
      <w:r>
        <w:rPr>
          <w:rFonts w:hint="eastAsia"/>
          <w:sz w:val="21"/>
          <w:szCs w:val="21"/>
          <w:highlight w:val="none"/>
        </w:rPr>
        <w:t>门诊护士工作站（含门诊护理智能全结构化电子病历）</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2191"/>
        <w:gridCol w:w="5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219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32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医嘱管理</w:t>
            </w:r>
          </w:p>
        </w:tc>
        <w:tc>
          <w:tcPr>
            <w:tcW w:w="21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皮试管理</w:t>
            </w:r>
          </w:p>
        </w:tc>
        <w:tc>
          <w:tcPr>
            <w:tcW w:w="532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完成门诊患者皮试医嘱处理，记录患者过敏药物</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1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治疗管理</w:t>
            </w:r>
          </w:p>
        </w:tc>
        <w:tc>
          <w:tcPr>
            <w:tcW w:w="532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完成门诊患者治疗医嘱临床执行确认，便于统计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护士工作量。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医嘱单</w:t>
            </w:r>
          </w:p>
        </w:tc>
        <w:tc>
          <w:tcPr>
            <w:tcW w:w="21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医嘱单打印</w:t>
            </w:r>
          </w:p>
        </w:tc>
        <w:tc>
          <w:tcPr>
            <w:tcW w:w="532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根据医院需求，打印患者医嘱单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1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医嘱单类型维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c>
          <w:tcPr>
            <w:tcW w:w="532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根据医院需求，实现不同医嘱单单据类型维护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查询与统计</w:t>
            </w:r>
          </w:p>
        </w:tc>
        <w:tc>
          <w:tcPr>
            <w:tcW w:w="21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护士工作量查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询</w:t>
            </w:r>
          </w:p>
        </w:tc>
        <w:tc>
          <w:tcPr>
            <w:tcW w:w="532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提供按条件进行护士工作量查询、导出、打印</w:t>
            </w:r>
            <w:r>
              <w:rPr>
                <w:rFonts w:hint="eastAsia" w:cs="宋体"/>
                <w:sz w:val="21"/>
                <w:szCs w:val="21"/>
                <w:highlight w:val="none"/>
                <w:lang w:eastAsia="zh-CN"/>
              </w:rPr>
              <w:t>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p>
        </w:tc>
        <w:tc>
          <w:tcPr>
            <w:tcW w:w="21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护士工作量统</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w:t>
            </w:r>
          </w:p>
        </w:tc>
        <w:tc>
          <w:tcPr>
            <w:tcW w:w="532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提供按条件进行护士工作量统计、导出、打印</w:t>
            </w:r>
            <w:r>
              <w:rPr>
                <w:rFonts w:hint="eastAsia" w:cs="宋体"/>
                <w:sz w:val="21"/>
                <w:szCs w:val="21"/>
                <w:highlight w:val="none"/>
                <w:lang w:eastAsia="zh-CN"/>
              </w:rPr>
              <w:t>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w:t>
            </w:r>
          </w:p>
        </w:tc>
      </w:tr>
    </w:tbl>
    <w:p>
      <w:pPr>
        <w:pStyle w:val="10"/>
        <w:spacing w:before="3"/>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2.12、</w:t>
      </w:r>
      <w:r>
        <w:rPr>
          <w:rFonts w:hint="eastAsia"/>
          <w:sz w:val="21"/>
          <w:szCs w:val="21"/>
          <w:highlight w:val="none"/>
        </w:rPr>
        <w:t>住院医生工作站（含住院医生智能全结构化电子病历）</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1475"/>
        <w:gridCol w:w="6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tcBorders>
              <w:bottom w:val="single" w:color="000000" w:sz="12" w:space="0"/>
            </w:tcBorders>
            <w:shd w:val="clear" w:color="auto" w:fill="80C588"/>
            <w:vAlign w:val="center"/>
          </w:tcPr>
          <w:p>
            <w:pPr>
              <w:pStyle w:val="53"/>
              <w:spacing w:line="303"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475" w:type="dxa"/>
            <w:shd w:val="clear" w:color="auto" w:fill="80C588"/>
            <w:vAlign w:val="center"/>
          </w:tcPr>
          <w:p>
            <w:pPr>
              <w:pStyle w:val="53"/>
              <w:spacing w:before="127"/>
              <w:ind w:left="527"/>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251" w:type="dxa"/>
            <w:shd w:val="clear" w:color="auto" w:fill="80C588"/>
            <w:vAlign w:val="center"/>
          </w:tcPr>
          <w:p>
            <w:pPr>
              <w:pStyle w:val="53"/>
              <w:spacing w:before="127"/>
              <w:ind w:left="527"/>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bl>
    <w:p>
      <w:pPr>
        <w:spacing w:after="0"/>
        <w:rPr>
          <w:rFonts w:hint="eastAsia" w:ascii="宋体" w:hAnsi="宋体" w:eastAsia="宋体" w:cs="宋体"/>
          <w:sz w:val="21"/>
          <w:szCs w:val="21"/>
          <w:highlight w:val="none"/>
        </w:rPr>
        <w:sectPr>
          <w:pgSz w:w="11910" w:h="16840"/>
          <w:pgMar w:top="1420" w:right="520" w:bottom="1080" w:left="620" w:header="0" w:footer="895" w:gutter="0"/>
          <w:pgNumType w:fmt="decimal"/>
          <w:cols w:space="720" w:num="1"/>
        </w:sectPr>
      </w:pPr>
    </w:p>
    <w:tbl>
      <w:tblPr>
        <w:tblStyle w:val="23"/>
        <w:tblW w:w="0" w:type="auto"/>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423"/>
        <w:gridCol w:w="960"/>
        <w:gridCol w:w="5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261"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集中管理</w:t>
            </w:r>
          </w:p>
        </w:tc>
        <w:tc>
          <w:tcPr>
            <w:tcW w:w="423" w:type="dxa"/>
            <w:tcBorders>
              <w:righ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w:t>
            </w:r>
          </w:p>
        </w:tc>
        <w:tc>
          <w:tcPr>
            <w:tcW w:w="960" w:type="dxa"/>
            <w:tcBorders>
              <w:lef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首页信</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综合显示全院病人的概要信息查看</w:t>
            </w:r>
            <w:r>
              <w:rPr>
                <w:rFonts w:hint="eastAsia" w:ascii="宋体" w:hAnsi="宋体" w:eastAsia="宋体" w:cs="宋体"/>
                <w:sz w:val="21"/>
                <w:szCs w:val="21"/>
                <w:highlight w:val="none"/>
              </w:rPr>
              <w:t>（</w:t>
            </w:r>
            <w:r>
              <w:rPr>
                <w:rFonts w:hint="eastAsia" w:ascii="宋体" w:hAnsi="宋体" w:eastAsia="宋体" w:cs="宋体"/>
                <w:spacing w:val="-9"/>
                <w:sz w:val="21"/>
                <w:szCs w:val="21"/>
                <w:highlight w:val="none"/>
              </w:rPr>
              <w:t>今日入院、今日出院、</w:t>
            </w:r>
            <w:r>
              <w:rPr>
                <w:rFonts w:hint="eastAsia" w:ascii="宋体" w:hAnsi="宋体" w:eastAsia="宋体" w:cs="宋体"/>
                <w:spacing w:val="-11"/>
                <w:sz w:val="21"/>
                <w:szCs w:val="21"/>
                <w:highlight w:val="none"/>
              </w:rPr>
              <w:t>明日出院、今日手术等数量</w:t>
            </w:r>
            <w:r>
              <w:rPr>
                <w:rFonts w:hint="eastAsia" w:ascii="宋体" w:hAnsi="宋体" w:eastAsia="宋体" w:cs="宋体"/>
                <w:spacing w:val="-33"/>
                <w:sz w:val="21"/>
                <w:szCs w:val="21"/>
                <w:highlight w:val="none"/>
              </w:rPr>
              <w:t>）</w:t>
            </w:r>
            <w:r>
              <w:rPr>
                <w:rFonts w:hint="eastAsia" w:ascii="宋体" w:hAnsi="宋体" w:eastAsia="宋体" w:cs="宋体"/>
                <w:spacing w:val="-6"/>
                <w:sz w:val="21"/>
                <w:szCs w:val="21"/>
                <w:highlight w:val="none"/>
              </w:rPr>
              <w:t>，并同时显示出具体的患者明细， 支持选择患者明细快速定位患者并进行病历有关操作。</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支持重要消息定时提示（如：未下达诊断、未归档等）并显示提示的明细信息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支持按登录医生直管患者和病区两种模式显示患者列表，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支持医生监管病区时进行快速的病区切换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423" w:type="dxa"/>
            <w:tcBorders>
              <w:righ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历</w:t>
            </w:r>
          </w:p>
        </w:tc>
        <w:tc>
          <w:tcPr>
            <w:tcW w:w="960" w:type="dxa"/>
            <w:tcBorders>
              <w:lef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历史病</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一键直接调出患者的历次门诊、住院就诊完整病历查阅</w:t>
            </w:r>
            <w:r>
              <w:rPr>
                <w:rFonts w:hint="eastAsia" w:ascii="宋体" w:hAnsi="宋体" w:eastAsia="宋体" w:cs="宋体"/>
                <w:spacing w:val="-6"/>
                <w:sz w:val="21"/>
                <w:szCs w:val="21"/>
                <w:highlight w:val="none"/>
              </w:rPr>
              <w:t>支持按时间、主要疾病两个维度显示患者历次就诊完整病</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423" w:type="dxa"/>
            <w:tcBorders>
              <w:righ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断</w:t>
            </w:r>
          </w:p>
        </w:tc>
        <w:tc>
          <w:tcPr>
            <w:tcW w:w="960" w:type="dxa"/>
            <w:tcBorders>
              <w:lef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住院诊</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支持新增、修改、删除、重用历史诊断功能。支持调用个人、科室、全院常用诊断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支持中西医结合诊断</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支持入院诊断、补充和修正诊断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过敏药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物录入</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支持维护患者过敏药物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423" w:type="dxa"/>
            <w:tcBorders>
              <w:righ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w:t>
            </w:r>
          </w:p>
        </w:tc>
        <w:tc>
          <w:tcPr>
            <w:tcW w:w="960" w:type="dxa"/>
            <w:tcBorders>
              <w:lef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入院记</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提供入院记录的新增、修改、审核、查看、复制、词条、存为模板、打印等功能。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支持可由医院定义的各种入院病历格式：包括病案首页、入院记录、出院记录、会诊记录、申请单、产科和手术麻醉有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关文书、同意书、证明文书等等。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病程</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提供病程记录的新增、修改、审核、查看、词条、打印等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提供医嘱检索浏览、医嘱明细查询、医嘱执行记录查询</w:t>
            </w:r>
            <w:r>
              <w:rPr>
                <w:rFonts w:hint="eastAsia" w:cs="宋体"/>
                <w:sz w:val="21"/>
                <w:szCs w:val="21"/>
                <w:highlight w:val="none"/>
                <w:lang w:eastAsia="zh-CN"/>
              </w:rPr>
              <w:t>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支持新增（长期、临时）医嘱、取消医嘱、停止医嘱、医嘱预停、医嘱补录、医嘱审核</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支持辅助下达医嘱（组合医嘱）、医嘱重用、医嘱互用、复制医嘱内容、二次签名、医嘱排序、删除医嘱（未保存的医嘱）、互斥医嘱、医嘱单打印等功能。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支持中草药处方医嘱下达功能、支持按类型选择中草药</w:t>
            </w:r>
            <w:r>
              <w:rPr>
                <w:rFonts w:hint="eastAsia" w:ascii="宋体" w:hAnsi="宋体" w:eastAsia="宋体" w:cs="宋体"/>
                <w:spacing w:val="-3"/>
                <w:sz w:val="21"/>
                <w:szCs w:val="21"/>
                <w:highlight w:val="none"/>
              </w:rPr>
              <w:t>支持出院带药医嘱、自备药医嘱；支持医嘱首日和末日执</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行次数输入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同时支持按表格简单选择和在医院申请单比较复杂时按医院申请单原样调用两种方式下达申请单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会诊</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提供会诊记录的新增、修改、答复等功能。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检查检验结果</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支持按申请和按报告两种方式查看检查检验信息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对于有多个报告，支持在不打开具体报告单时能查看报告单核心信息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支持根据时间、名称、项目等条件快速过滤查看申请单、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报告单，支持打印功能。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423" w:type="dxa"/>
            <w:tcBorders>
              <w:righ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页</w:t>
            </w:r>
          </w:p>
        </w:tc>
        <w:tc>
          <w:tcPr>
            <w:tcW w:w="960" w:type="dxa"/>
            <w:tcBorders>
              <w:left w:val="nil"/>
            </w:tcBorders>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病案首</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提供住院病案首页新增、修改、更新数据、打印等功能。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61"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体温单</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支持查看、打印患者的体温信息。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其他文</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书</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提供知情同意书、证明文书等其他文书的新增、修改、查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看、词条、打印等功能。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费用</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支持按财务统计、费用统计收费项目查看患者住院期间产</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生</w:t>
            </w:r>
            <w:r>
              <w:rPr>
                <w:rFonts w:hint="eastAsia" w:cs="宋体"/>
                <w:sz w:val="21"/>
                <w:szCs w:val="21"/>
                <w:highlight w:val="none"/>
                <w:lang w:eastAsia="zh-CN"/>
              </w:rPr>
              <w:t>得</w:t>
            </w:r>
            <w:r>
              <w:rPr>
                <w:rFonts w:hint="eastAsia" w:ascii="宋体" w:hAnsi="宋体" w:eastAsia="宋体" w:cs="宋体"/>
                <w:sz w:val="21"/>
                <w:szCs w:val="21"/>
                <w:highlight w:val="none"/>
              </w:rPr>
              <w:t>费用汇总信息、明细信息。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影音</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提供对患者的音频、视频、图片信息的增加、修改、查看等功能。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支持对信息进行分类并加入备注信息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支持按时间线查看缩略图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1"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系统维护</w:t>
            </w: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组合医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嘱管理</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支持按医生、科室分类维护常用的医嘱，提供新增、修改、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病历归</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档管理</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提供对出院病人的病历进行归档、取消归档、归档记录查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询等功能。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医嘱互</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斥维护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提供对互斥的医嘱进行新增、修改、删除等功能。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医疗医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嘱项目维护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提供医疗医嘱新增、修改、停用、与费用对照等功能。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中草药协定处方维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按医生、科室进行分类维护，提供中草药处方新增、修改、删除等操作。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常用诊</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断维护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按医生、科室进行分类维护常用诊断。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申请单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模板维护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提供对检查、检验申请的新增、修改、停用等功能。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支持同一申请单门诊、住院定义不同项目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板维护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提供维护个人、科室或全院的常用病历</w:t>
            </w:r>
            <w:r>
              <w:rPr>
                <w:rFonts w:hint="eastAsia" w:cs="宋体"/>
                <w:sz w:val="21"/>
                <w:szCs w:val="21"/>
                <w:highlight w:val="none"/>
                <w:lang w:eastAsia="zh-CN"/>
              </w:rPr>
              <w:t>模板</w:t>
            </w:r>
            <w:r>
              <w:rPr>
                <w:rFonts w:hint="eastAsia" w:ascii="宋体" w:hAnsi="宋体" w:eastAsia="宋体" w:cs="宋体"/>
                <w:sz w:val="21"/>
                <w:szCs w:val="21"/>
                <w:highlight w:val="none"/>
              </w:rPr>
              <w:t>修改等功能。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ICD-10</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疾病编码维护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提供对 ICD-10 疾病的新增、修改、查看、删除等功能。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1"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38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词条维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c>
          <w:tcPr>
            <w:tcW w:w="5860" w:type="dxa"/>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提供按个人或科室对词条目录、词条内容的新增、修改、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删除等功能。</w:t>
            </w:r>
          </w:p>
        </w:tc>
      </w:tr>
    </w:tbl>
    <w:p>
      <w:pPr>
        <w:pStyle w:val="10"/>
        <w:rPr>
          <w:rFonts w:hint="eastAsia" w:ascii="宋体" w:hAnsi="宋体" w:eastAsia="宋体" w:cs="宋体"/>
          <w:b/>
          <w:sz w:val="21"/>
          <w:szCs w:val="21"/>
          <w:highlight w:val="none"/>
        </w:rPr>
      </w:pPr>
    </w:p>
    <w:p>
      <w:pPr>
        <w:pStyle w:val="10"/>
        <w:spacing w:before="10"/>
        <w:rPr>
          <w:rFonts w:hint="eastAsia" w:ascii="宋体" w:hAnsi="宋体" w:eastAsia="宋体" w:cs="宋体"/>
          <w:b/>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2.13、</w:t>
      </w:r>
      <w:r>
        <w:rPr>
          <w:rFonts w:hint="eastAsia"/>
          <w:sz w:val="21"/>
          <w:szCs w:val="21"/>
          <w:highlight w:val="none"/>
        </w:rPr>
        <w:t>住院护士工作站（含住院护理智能全结构化电子病历）</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1475"/>
        <w:gridCol w:w="6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475"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25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集中管理</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首页</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根据医院需求自定义展现病区护士关注的关键指标信息。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如：新入院患者，一级护理患者，欠费患者，发热患者等。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床位图</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以床位卡片的形式，展现本病区的床位和患者信息。支持给无床或者有床病人进行床位安排、转科转床、医嘱处理和录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入体温单等操作。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医嘱转</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对本病区或者下级病区医生下达的医嘱进行核对和审查。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抄</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支持驳回功能。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医嘱召</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回</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对未处理、已转抄的医嘱数据进行召回，便于医生取消医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对各类医嘱进行处理，包括记账，处方申请功能。同时允</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许修改医嘱的关联信息。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医嘱核</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核对在本病区或者下级病区中某一天的医嘱的处理情况，</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提供补记和撤销功能。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特殊医嘱处理</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对各类特殊（产后、术后、转科、出院、皮试、试验、持续医嘱）医嘱提供执行功能，满足特殊医嘱处理时对其他医嘱</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医嘱执</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行拆分</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对已转抄的医嘱，提供临床执行计划时间点拆分功能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床执行</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实现医嘱临床执行确认功能，记录执行者，执行人等相关</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信息，便于统计护士工作量。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显示本病区或者下级病区患者的医嘱数据，提供打印</w:t>
            </w:r>
            <w:r>
              <w:rPr>
                <w:rFonts w:hint="eastAsia" w:cs="宋体"/>
                <w:sz w:val="21"/>
                <w:szCs w:val="21"/>
                <w:highlight w:val="none"/>
                <w:lang w:eastAsia="zh-CN"/>
              </w:rPr>
              <w:t>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体温单管理</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体温单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项目维护</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根据医院实际需求，维护体温单采集数据项目。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体温单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方案维护</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根据医院需求，可以对不同科室提供不同体温单方案。便</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于满足儿科，妇产科特殊需求。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体温单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提供单人或者多人的形式录入体温单数据，按周生成体温</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护理文书</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护理评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估</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支持患者各类护理评估单，以趋势图展示历次评估记录，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便于直观知晓患者护理评估信息。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护理记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支持患者一般护理记录，特殊护理记录，其他护理记录等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各类护理记录文书书写。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患者管理</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护理信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对本病区患者护理信息进行管理，提供修改功能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新生儿</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对新生儿的基本信息进行维护，提供新增、修改、删除、</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入院登记功能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显示本病区或者下级病区患者，提供医疗项目记账功能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费</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显示本病区或者下级病区患者，提供已记账费用退费功能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方划价</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显示本病区或者下级病区患者，提供处方划价功能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方划价修改</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显示本病区或者下级病区患者，提供已划价的处方修改功</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住院退</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药申请</w:t>
            </w:r>
          </w:p>
        </w:tc>
        <w:tc>
          <w:tcPr>
            <w:tcW w:w="625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显示已发药的处方，提供退药申请功能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交班管理</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交班方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案维护</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根据医院情况，自定义不同病区的交班方案。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交班数</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记录护士各班次交班情况。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据管理</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交班信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息查询</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提供按条件进行交班信息查询功能、导出、打印功能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床位管理</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床位维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对床位信息进行管理，提供新增、修改功能。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床位安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排</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对无床或者有床的患者，提供安床和包床功能。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转科转</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对已安床或者没有安床的患者，提供转科转床功能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查询统计</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催款单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显示本病区或者下级病区已经欠费的患者，提供打印催款</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用集中查询</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显示本病区或者下级病区的患者的费用信息，提供打印费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用明细、药品明细、预交金明细功能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日清单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显示本病区或者下级病区的患者某一日的费用信息，提供</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打印明细功能。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系统维护</w:t>
            </w: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持续医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嘱字典维护</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提供医院持续收费医嘱项目维护。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药品用法关联收费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根据药品用法，关联各类用法使用的收费项目维护。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输液用法关联收费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输液时，收取的输液费，加液费维护对应的收费项目。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类型维护</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根据医院需求，维护医院医嘱单不同单据类型。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病区维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对全院病区进行维护，提供新增、修改、生成视图功能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护士信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息维护</w:t>
            </w:r>
          </w:p>
        </w:tc>
        <w:tc>
          <w:tcPr>
            <w:tcW w:w="62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对医院护士进行护士权限进行维护。</w:t>
            </w:r>
          </w:p>
        </w:tc>
      </w:tr>
    </w:tbl>
    <w:p>
      <w:pPr>
        <w:pStyle w:val="10"/>
        <w:spacing w:before="11"/>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2.14、</w:t>
      </w:r>
      <w:r>
        <w:rPr>
          <w:rFonts w:hint="eastAsia"/>
          <w:sz w:val="21"/>
          <w:szCs w:val="21"/>
          <w:highlight w:val="none"/>
        </w:rPr>
        <w:t>医技科室报告管理系统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2418"/>
        <w:gridCol w:w="5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2418"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291"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医技管</w:t>
            </w:r>
          </w:p>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w:t>
            </w: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医技医嘱执行</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主要实现医技医嘱临床执行确认功能，便于统计</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医技人员工作量。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检查检验管理</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对检查检验申请单进行执行，报告等操作。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病历查阅</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查看患者当前病历信息及历史病历信息。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会诊管</w:t>
            </w:r>
          </w:p>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w:t>
            </w: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会诊管理</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医技科室可以根据临床医生，医技医生发出患者</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的会诊申请，进行会诊处理。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患者管</w:t>
            </w:r>
          </w:p>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w:t>
            </w: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门诊联网项目划</w:t>
            </w:r>
          </w:p>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完成门诊患者联网项目划价操作。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住院记账</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根据实际情况可以直接对住院患者进行记账。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p>
        </w:tc>
        <w:tc>
          <w:tcPr>
            <w:tcW w:w="2418"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住院处方申请</w:t>
            </w:r>
          </w:p>
        </w:tc>
        <w:tc>
          <w:tcPr>
            <w:tcW w:w="529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根据实际情况可以对住院患者进行处方申请，便</w:t>
            </w:r>
          </w:p>
          <w:p>
            <w:pPr>
              <w:pStyle w:val="53"/>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于患者用药。</w:t>
            </w:r>
          </w:p>
        </w:tc>
      </w:tr>
    </w:tbl>
    <w:p>
      <w:pPr>
        <w:pStyle w:val="10"/>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pStyle w:val="10"/>
        <w:spacing w:before="1"/>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2.15、</w:t>
      </w:r>
      <w:r>
        <w:rPr>
          <w:rFonts w:hint="eastAsia"/>
          <w:sz w:val="21"/>
          <w:szCs w:val="21"/>
          <w:highlight w:val="none"/>
        </w:rPr>
        <w:t>一卡通</w:t>
      </w:r>
      <w:r>
        <w:rPr>
          <w:rFonts w:hint="eastAsia"/>
          <w:sz w:val="21"/>
          <w:szCs w:val="21"/>
          <w:highlight w:val="none"/>
          <w:lang w:eastAsia="zh-CN"/>
        </w:rPr>
        <w:t>个人账户</w:t>
      </w:r>
      <w:r>
        <w:rPr>
          <w:rFonts w:hint="eastAsia"/>
          <w:sz w:val="21"/>
          <w:szCs w:val="21"/>
          <w:highlight w:val="none"/>
        </w:rPr>
        <w:t>管理系统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1563"/>
        <w:gridCol w:w="5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shd w:val="clear" w:color="auto" w:fill="80C588"/>
            <w:vAlign w:val="center"/>
          </w:tcPr>
          <w:p>
            <w:pPr>
              <w:pStyle w:val="53"/>
              <w:spacing w:line="303"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563" w:type="dxa"/>
            <w:shd w:val="clear" w:color="auto" w:fill="80C588"/>
            <w:vAlign w:val="center"/>
          </w:tcPr>
          <w:p>
            <w:pPr>
              <w:pStyle w:val="53"/>
              <w:spacing w:before="109"/>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5949" w:type="dxa"/>
            <w:shd w:val="clear" w:color="auto" w:fill="80C588"/>
            <w:vAlign w:val="center"/>
          </w:tcPr>
          <w:p>
            <w:pPr>
              <w:pStyle w:val="53"/>
              <w:spacing w:before="109"/>
              <w:ind w:left="5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Align w:val="center"/>
          </w:tcPr>
          <w:p>
            <w:pPr>
              <w:pStyle w:val="53"/>
              <w:spacing w:line="278" w:lineRule="auto"/>
              <w:ind w:right="29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一卡通建卡</w:t>
            </w:r>
          </w:p>
        </w:tc>
        <w:tc>
          <w:tcPr>
            <w:tcW w:w="1563" w:type="dxa"/>
            <w:vAlign w:val="center"/>
          </w:tcPr>
          <w:p>
            <w:pPr>
              <w:pStyle w:val="53"/>
              <w:spacing w:line="278" w:lineRule="auto"/>
              <w:ind w:right="2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一卡通建卡</w:t>
            </w:r>
          </w:p>
        </w:tc>
        <w:tc>
          <w:tcPr>
            <w:tcW w:w="5949" w:type="dxa"/>
            <w:vAlign w:val="top"/>
          </w:tcPr>
          <w:p>
            <w:pPr>
              <w:pStyle w:val="53"/>
              <w:spacing w:before="23" w:line="278" w:lineRule="auto"/>
              <w:ind w:left="108" w:right="-15" w:firstLine="4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集成在患者建档功能中；可以在新建档案时一并建卡， </w:t>
            </w:r>
            <w:r>
              <w:rPr>
                <w:rFonts w:hint="eastAsia" w:ascii="宋体" w:hAnsi="宋体" w:eastAsia="宋体" w:cs="宋体"/>
                <w:spacing w:val="-9"/>
                <w:sz w:val="21"/>
                <w:szCs w:val="21"/>
                <w:highlight w:val="none"/>
              </w:rPr>
              <w:t>也可调出患者档案后补卡；同一患者可建多张卡但需对应同</w:t>
            </w:r>
            <w:r>
              <w:rPr>
                <w:rFonts w:hint="eastAsia" w:ascii="宋体" w:hAnsi="宋体" w:eastAsia="宋体" w:cs="宋体"/>
                <w:spacing w:val="-20"/>
                <w:sz w:val="21"/>
                <w:szCs w:val="21"/>
                <w:highlight w:val="none"/>
              </w:rPr>
              <w:t xml:space="preserve">一患者 </w:t>
            </w:r>
            <w:r>
              <w:rPr>
                <w:rFonts w:hint="eastAsia" w:ascii="宋体" w:hAnsi="宋体" w:eastAsia="宋体" w:cs="宋体"/>
                <w:sz w:val="21"/>
                <w:szCs w:val="21"/>
                <w:highlight w:val="none"/>
              </w:rPr>
              <w:t>ID；可自定卡类型、是否需要押金、是否允许欠费</w:t>
            </w:r>
            <w:r>
              <w:rPr>
                <w:rFonts w:hint="eastAsia" w:ascii="宋体" w:hAnsi="宋体" w:eastAsia="宋体" w:cs="宋体"/>
                <w:spacing w:val="-7"/>
                <w:sz w:val="21"/>
                <w:szCs w:val="21"/>
                <w:highlight w:val="none"/>
              </w:rPr>
              <w:t>及最高额度、限制卡的消费范围等；患者一卡通账户支持设</w:t>
            </w:r>
            <w:r>
              <w:rPr>
                <w:rFonts w:hint="eastAsia" w:ascii="宋体" w:hAnsi="宋体" w:eastAsia="宋体" w:cs="宋体"/>
                <w:spacing w:val="-11"/>
                <w:sz w:val="21"/>
                <w:szCs w:val="21"/>
                <w:highlight w:val="none"/>
              </w:rPr>
              <w:t>置密码、可设置家庭账户</w:t>
            </w:r>
            <w:r>
              <w:rPr>
                <w:rFonts w:hint="eastAsia" w:ascii="宋体" w:hAnsi="宋体" w:eastAsia="宋体" w:cs="宋体"/>
                <w:sz w:val="21"/>
                <w:szCs w:val="21"/>
                <w:highlight w:val="none"/>
              </w:rPr>
              <w:t>（</w:t>
            </w:r>
            <w:r>
              <w:rPr>
                <w:rFonts w:hint="eastAsia" w:ascii="宋体" w:hAnsi="宋体" w:eastAsia="宋体" w:cs="宋体"/>
                <w:spacing w:val="-3"/>
                <w:sz w:val="21"/>
                <w:szCs w:val="21"/>
                <w:highlight w:val="none"/>
              </w:rPr>
              <w:t>亲属的卡可关联同共消费、充值该账户）；支持一患者一账号。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Align w:val="center"/>
          </w:tcPr>
          <w:p>
            <w:pPr>
              <w:pStyle w:val="53"/>
              <w:spacing w:line="278" w:lineRule="auto"/>
              <w:ind w:right="29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一卡通管理</w:t>
            </w:r>
          </w:p>
        </w:tc>
        <w:tc>
          <w:tcPr>
            <w:tcW w:w="1563" w:type="dxa"/>
            <w:vAlign w:val="center"/>
          </w:tcPr>
          <w:p>
            <w:pPr>
              <w:pStyle w:val="53"/>
              <w:spacing w:line="278" w:lineRule="auto"/>
              <w:ind w:right="2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一卡通管理</w:t>
            </w:r>
          </w:p>
        </w:tc>
        <w:tc>
          <w:tcPr>
            <w:tcW w:w="5949" w:type="dxa"/>
            <w:vAlign w:val="top"/>
          </w:tcPr>
          <w:p>
            <w:pPr>
              <w:pStyle w:val="53"/>
              <w:spacing w:before="23" w:line="278" w:lineRule="auto"/>
              <w:ind w:left="108" w:right="-15" w:firstLine="420"/>
              <w:jc w:val="center"/>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可以对患者的卡办理挂失、注销、退卡或已恢复正常等</w:t>
            </w:r>
            <w:r>
              <w:rPr>
                <w:rFonts w:hint="eastAsia" w:ascii="宋体" w:hAnsi="宋体" w:eastAsia="宋体" w:cs="宋体"/>
                <w:spacing w:val="-16"/>
                <w:sz w:val="21"/>
                <w:szCs w:val="21"/>
                <w:highlight w:val="none"/>
              </w:rPr>
              <w:t>业务；设置家庭账户；重新关联患者档案号；修改账户密码。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restart"/>
            <w:vAlign w:val="center"/>
          </w:tcPr>
          <w:p>
            <w:pPr>
              <w:pStyle w:val="53"/>
              <w:spacing w:line="278" w:lineRule="auto"/>
              <w:ind w:right="29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一卡通充退款</w:t>
            </w:r>
          </w:p>
        </w:tc>
        <w:tc>
          <w:tcPr>
            <w:tcW w:w="1563" w:type="dxa"/>
            <w:vAlign w:val="center"/>
          </w:tcPr>
          <w:p>
            <w:pPr>
              <w:pStyle w:val="53"/>
              <w:spacing w:before="2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一卡通充值</w:t>
            </w:r>
          </w:p>
        </w:tc>
        <w:tc>
          <w:tcPr>
            <w:tcW w:w="5949" w:type="dxa"/>
            <w:vAlign w:val="top"/>
          </w:tcPr>
          <w:p>
            <w:pPr>
              <w:pStyle w:val="53"/>
              <w:spacing w:before="23"/>
              <w:ind w:left="5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支持多种方式的支付。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9" w:type="dxa"/>
            <w:vMerge w:val="continue"/>
            <w:tcBorders>
              <w:top w:val="nil"/>
            </w:tcBorders>
            <w:vAlign w:val="center"/>
          </w:tcPr>
          <w:p>
            <w:pPr>
              <w:jc w:val="center"/>
              <w:rPr>
                <w:rFonts w:hint="eastAsia" w:ascii="宋体" w:hAnsi="宋体" w:eastAsia="宋体" w:cs="宋体"/>
                <w:sz w:val="21"/>
                <w:szCs w:val="21"/>
                <w:highlight w:val="none"/>
              </w:rPr>
            </w:pPr>
          </w:p>
        </w:tc>
        <w:tc>
          <w:tcPr>
            <w:tcW w:w="1563" w:type="dxa"/>
            <w:vAlign w:val="center"/>
          </w:tcPr>
          <w:p>
            <w:pPr>
              <w:pStyle w:val="53"/>
              <w:spacing w:before="179" w:line="278" w:lineRule="auto"/>
              <w:ind w:right="2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一卡通退款</w:t>
            </w:r>
          </w:p>
        </w:tc>
        <w:tc>
          <w:tcPr>
            <w:tcW w:w="5949" w:type="dxa"/>
            <w:vAlign w:val="top"/>
          </w:tcPr>
          <w:p>
            <w:pPr>
              <w:pStyle w:val="53"/>
              <w:spacing w:before="23"/>
              <w:ind w:left="528"/>
              <w:jc w:val="center"/>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 xml:space="preserve">支持退款退回原处，如原来充值中有支付宝支付 </w:t>
            </w:r>
            <w:r>
              <w:rPr>
                <w:rFonts w:hint="eastAsia" w:ascii="宋体" w:hAnsi="宋体" w:eastAsia="宋体" w:cs="宋体"/>
                <w:sz w:val="21"/>
                <w:szCs w:val="21"/>
                <w:highlight w:val="none"/>
              </w:rPr>
              <w:t>100</w:t>
            </w:r>
            <w:r>
              <w:rPr>
                <w:rFonts w:hint="eastAsia" w:ascii="宋体" w:hAnsi="宋体" w:eastAsia="宋体" w:cs="宋体"/>
                <w:spacing w:val="-27"/>
                <w:sz w:val="21"/>
                <w:szCs w:val="21"/>
                <w:highlight w:val="none"/>
              </w:rPr>
              <w:t xml:space="preserve"> 则</w:t>
            </w:r>
          </w:p>
          <w:p>
            <w:pPr>
              <w:pStyle w:val="53"/>
              <w:spacing w:before="2" w:line="310" w:lineRule="atLeast"/>
              <w:ind w:left="108" w:right="95"/>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 xml:space="preserve">可将余额中最大 </w:t>
            </w:r>
            <w:r>
              <w:rPr>
                <w:rFonts w:hint="eastAsia" w:ascii="宋体" w:hAnsi="宋体" w:eastAsia="宋体" w:cs="宋体"/>
                <w:sz w:val="21"/>
                <w:szCs w:val="21"/>
                <w:highlight w:val="none"/>
              </w:rPr>
              <w:t>100</w:t>
            </w:r>
            <w:r>
              <w:rPr>
                <w:rFonts w:hint="eastAsia" w:ascii="宋体" w:hAnsi="宋体" w:eastAsia="宋体" w:cs="宋体"/>
                <w:spacing w:val="-14"/>
                <w:sz w:val="21"/>
                <w:szCs w:val="21"/>
                <w:highlight w:val="none"/>
              </w:rPr>
              <w:t xml:space="preserve"> 元回退到支付宝账户而不是退现金</w:t>
            </w:r>
            <w:r>
              <w:rPr>
                <w:rFonts w:hint="eastAsia" w:ascii="宋体" w:hAnsi="宋体" w:eastAsia="宋体" w:cs="宋体"/>
                <w:sz w:val="21"/>
                <w:szCs w:val="21"/>
                <w:highlight w:val="none"/>
              </w:rPr>
              <w:t>（</w:t>
            </w:r>
            <w:r>
              <w:rPr>
                <w:rFonts w:hint="eastAsia" w:ascii="宋体" w:hAnsi="宋体" w:eastAsia="宋体" w:cs="宋体"/>
                <w:spacing w:val="-16"/>
                <w:sz w:val="21"/>
                <w:szCs w:val="21"/>
                <w:highlight w:val="none"/>
              </w:rPr>
              <w:t>需</w:t>
            </w:r>
            <w:r>
              <w:rPr>
                <w:rFonts w:hint="eastAsia" w:ascii="宋体" w:hAnsi="宋体" w:eastAsia="宋体" w:cs="宋体"/>
                <w:sz w:val="21"/>
                <w:szCs w:val="21"/>
                <w:highlight w:val="none"/>
              </w:rPr>
              <w:t>使用的是支付宝相关接口的才可以）。</w:t>
            </w:r>
          </w:p>
        </w:tc>
      </w:tr>
    </w:tbl>
    <w:p>
      <w:pPr>
        <w:pStyle w:val="10"/>
        <w:jc w:val="center"/>
        <w:rPr>
          <w:rFonts w:hint="eastAsia" w:ascii="宋体" w:hAnsi="宋体" w:eastAsia="宋体" w:cs="宋体"/>
          <w:b/>
          <w:sz w:val="21"/>
          <w:szCs w:val="21"/>
          <w:highlight w:val="none"/>
        </w:rPr>
      </w:pPr>
    </w:p>
    <w:p>
      <w:pPr>
        <w:pStyle w:val="10"/>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2.16、</w:t>
      </w:r>
      <w:r>
        <w:rPr>
          <w:rFonts w:hint="eastAsia"/>
          <w:sz w:val="21"/>
          <w:szCs w:val="21"/>
          <w:highlight w:val="none"/>
        </w:rPr>
        <w:t>一卡通管理</w:t>
      </w:r>
    </w:p>
    <w:p>
      <w:pPr>
        <w:pStyle w:val="10"/>
        <w:spacing w:before="90" w:line="240" w:lineRule="auto"/>
        <w:ind w:left="880"/>
        <w:rPr>
          <w:rFonts w:hint="eastAsia" w:ascii="宋体" w:hAnsi="宋体" w:eastAsia="宋体" w:cs="宋体"/>
          <w:sz w:val="21"/>
          <w:szCs w:val="21"/>
          <w:highlight w:val="none"/>
        </w:rPr>
      </w:pPr>
      <w:r>
        <w:rPr>
          <w:rFonts w:hint="eastAsia" w:ascii="宋体" w:hAnsi="宋体" w:eastAsia="宋体" w:cs="宋体"/>
          <w:sz w:val="21"/>
          <w:szCs w:val="21"/>
          <w:highlight w:val="none"/>
        </w:rPr>
        <w:t>医疗卡建、医疗卡管理（退卡、挂失、注销、恢复）。</w:t>
      </w:r>
    </w:p>
    <w:p>
      <w:pPr>
        <w:pStyle w:val="5"/>
        <w:numPr>
          <w:ilvl w:val="0"/>
          <w:numId w:val="0"/>
        </w:numPr>
        <w:bidi w:val="0"/>
        <w:rPr>
          <w:rFonts w:hint="eastAsia"/>
          <w:sz w:val="21"/>
          <w:szCs w:val="21"/>
          <w:highlight w:val="none"/>
        </w:rPr>
      </w:pPr>
      <w:r>
        <w:rPr>
          <w:rFonts w:hint="eastAsia"/>
          <w:sz w:val="21"/>
          <w:szCs w:val="21"/>
          <w:highlight w:val="none"/>
          <w:lang w:val="en-US" w:eastAsia="zh-CN"/>
        </w:rPr>
        <w:t>2.17、</w:t>
      </w:r>
      <w:r>
        <w:rPr>
          <w:rFonts w:hint="eastAsia"/>
          <w:sz w:val="21"/>
          <w:szCs w:val="21"/>
          <w:highlight w:val="none"/>
        </w:rPr>
        <w:t>影像归档通信系统 PACS 系统（含放射科信息管理系统 RIS）</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312" w:firstLineChars="200"/>
        <w:textAlignment w:val="auto"/>
        <w:rPr>
          <w:rFonts w:hint="eastAsia" w:ascii="宋体" w:hAnsi="宋体" w:eastAsia="宋体" w:cs="宋体"/>
          <w:sz w:val="21"/>
          <w:szCs w:val="21"/>
          <w:highlight w:val="none"/>
        </w:rPr>
      </w:pPr>
      <w:r>
        <w:rPr>
          <w:rFonts w:hint="eastAsia" w:ascii="宋体" w:hAnsi="宋体" w:eastAsia="宋体" w:cs="宋体"/>
          <w:spacing w:val="-27"/>
          <w:sz w:val="21"/>
          <w:szCs w:val="21"/>
          <w:highlight w:val="none"/>
        </w:rPr>
        <w:t xml:space="preserve">与 </w:t>
      </w:r>
      <w:r>
        <w:rPr>
          <w:rFonts w:hint="eastAsia" w:ascii="宋体" w:hAnsi="宋体" w:eastAsia="宋体" w:cs="宋体"/>
          <w:sz w:val="21"/>
          <w:szCs w:val="21"/>
          <w:highlight w:val="none"/>
        </w:rPr>
        <w:t>HIS</w:t>
      </w:r>
      <w:r>
        <w:rPr>
          <w:rFonts w:hint="eastAsia" w:ascii="宋体" w:hAnsi="宋体" w:eastAsia="宋体" w:cs="宋体"/>
          <w:spacing w:val="-9"/>
          <w:sz w:val="21"/>
          <w:szCs w:val="21"/>
          <w:highlight w:val="none"/>
        </w:rPr>
        <w:t xml:space="preserve"> 电子病历系统对接，自动获取电子申请单信息，获取缴费病人</w:t>
      </w:r>
      <w:r>
        <w:rPr>
          <w:rFonts w:hint="eastAsia" w:ascii="宋体" w:hAnsi="宋体" w:cs="宋体"/>
          <w:spacing w:val="-9"/>
          <w:sz w:val="21"/>
          <w:szCs w:val="21"/>
          <w:highlight w:val="none"/>
          <w:lang w:eastAsia="zh-CN"/>
        </w:rPr>
        <w:t>信息</w:t>
      </w:r>
      <w:r>
        <w:rPr>
          <w:rFonts w:hint="eastAsia" w:ascii="宋体" w:hAnsi="宋体" w:eastAsia="宋体" w:cs="宋体"/>
          <w:spacing w:val="-9"/>
          <w:sz w:val="21"/>
          <w:szCs w:val="21"/>
          <w:highlight w:val="none"/>
        </w:rPr>
        <w:t>登记排队</w:t>
      </w:r>
      <w:r>
        <w:rPr>
          <w:rFonts w:hint="eastAsia" w:ascii="宋体" w:hAnsi="宋体" w:eastAsia="宋体" w:cs="宋体"/>
          <w:sz w:val="21"/>
          <w:szCs w:val="21"/>
          <w:highlight w:val="none"/>
        </w:rPr>
        <w:t>一、系统要求实现功能：</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00" w:firstLineChars="200"/>
        <w:jc w:val="left"/>
        <w:textAlignment w:val="auto"/>
        <w:rPr>
          <w:rFonts w:hint="eastAsia" w:ascii="宋体" w:hAnsi="宋体" w:eastAsia="宋体" w:cs="宋体"/>
          <w:sz w:val="21"/>
          <w:szCs w:val="21"/>
          <w:highlight w:val="none"/>
        </w:rPr>
      </w:pPr>
      <w:r>
        <w:rPr>
          <w:rFonts w:hint="eastAsia" w:ascii="宋体" w:hAnsi="宋体" w:cs="宋体"/>
          <w:spacing w:val="-5"/>
          <w:sz w:val="21"/>
          <w:szCs w:val="21"/>
          <w:highlight w:val="none"/>
          <w:lang w:val="en-US" w:eastAsia="zh-CN"/>
        </w:rPr>
        <w:t>1.</w:t>
      </w:r>
      <w:r>
        <w:rPr>
          <w:rFonts w:hint="eastAsia" w:ascii="宋体" w:hAnsi="宋体" w:eastAsia="宋体" w:cs="宋体"/>
          <w:spacing w:val="-5"/>
          <w:sz w:val="21"/>
          <w:szCs w:val="21"/>
          <w:highlight w:val="none"/>
        </w:rPr>
        <w:t>可实现所有影像设备和保修期内所有新增影像设备数据的采集、传输、存储、归档、备份与容灾需</w:t>
      </w:r>
      <w:r>
        <w:rPr>
          <w:rFonts w:hint="eastAsia" w:ascii="宋体" w:hAnsi="宋体" w:eastAsia="宋体" w:cs="宋体"/>
          <w:sz w:val="21"/>
          <w:szCs w:val="21"/>
          <w:highlight w:val="none"/>
        </w:rPr>
        <w:t>求。</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08" w:firstLineChars="200"/>
        <w:jc w:val="left"/>
        <w:textAlignment w:val="auto"/>
        <w:rPr>
          <w:rFonts w:hint="eastAsia" w:ascii="宋体" w:hAnsi="宋体" w:eastAsia="宋体" w:cs="宋体"/>
          <w:sz w:val="21"/>
          <w:szCs w:val="21"/>
          <w:highlight w:val="none"/>
        </w:rPr>
      </w:pPr>
      <w:r>
        <w:rPr>
          <w:rFonts w:hint="eastAsia" w:ascii="宋体" w:hAnsi="宋体" w:cs="宋体"/>
          <w:spacing w:val="-3"/>
          <w:sz w:val="21"/>
          <w:szCs w:val="21"/>
          <w:highlight w:val="none"/>
          <w:lang w:val="en-US" w:eastAsia="zh-CN"/>
        </w:rPr>
        <w:t>1.</w:t>
      </w:r>
      <w:r>
        <w:rPr>
          <w:rFonts w:hint="eastAsia" w:ascii="宋体" w:hAnsi="宋体" w:eastAsia="宋体" w:cs="宋体"/>
          <w:spacing w:val="-3"/>
          <w:sz w:val="21"/>
          <w:szCs w:val="21"/>
          <w:highlight w:val="none"/>
        </w:rPr>
        <w:t>申请、登记预约、计费、排队叫号、技师操作、图像处理、医生诊断、科室管理、科研教学管理等全过程的软件需求。</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能够与集团信息系统完整对接融合。</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系统管理。</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系统操作界面必须具有全套的中文系统操作界面</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各系统风格一致。</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二、主要功能需求：</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 PACS/RIS 信息系统的采集、存储、应用等核心服务支撑，包括以下信息：</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1.支持 UNIX、Lunix 及 Windows 操作平台，大型关系型数据库。</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2.支持医学影像检查诊断信息采集、存储管理与系统配置。</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3.支持采用集中式数据库及独立影像储存机制。</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4.图像存储支持非压缩，JPEG、JPEG2000 无损、有损压缩及文件级的压缩。</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5.图像采用无损压缩，由 PACS 系统打印出的图像硬拷贝不低于原设备打印输出的硬拷贝质量。</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6.扩展升级：确保未来的扩容、升级</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确保扩容后所有数据的连续性应用。</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7.传输与连接：</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遵循国际医疗影像及信息传输标准；</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DICOM 影像设备直接接收影像设备发来的影像数据；</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8.报告系统</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自带强大的专业报告模板，可以方便灵活地书写报告；提供公用和私有报告模板，具有自定义报告模板功能，能方便灵活地定义各类模板；支持电子签名；</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9.自助取单</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扫描回执单或者刷卡领自助取单机打印检验报告</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自定义自助取单规则</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10.图像查询</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支持住院号、门诊号、姓名、年龄、影像号、检查设备、检查部位、检查项目、申请科室、诊断医师、科研以及特殊病例、日期等多种形式的组合查询。</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三、设备接入服务</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提供影像检查设备接入，包括以下信息：</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1.支持与医院所有 DICOM 和非 DICOM 影像设备的连接，包括 CT、MR、CR、DR、数字胃肠、超声、胃镜、肠镜等。</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2.PACS/RIS 服务器支持的 DICOM 服务类包括</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StorageSCU/SCP、Query/RetrieveSCU/SCP、ModalityWorklistSCU/SCP、ModalityPerformedProcedureStepManagementSCU/SCP、PrintSCU、ECHOSCU/SCP、StorageCommitmentSCU/SCP、VerificationSCU/SCP、HangingProtocol 等。</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3.支持 DICOMRAWDATA、DICOMPart10、DICOMJPEG-Lossless、DICOMJPEG-Lossy、BMP、JPG 等影像类型。</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4.可接收各种非 DICOM 影像设备，进行单帧或者多帧采集，并转换为标准 DICOM 格式。</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5.能够对非 DICOM 标准影像采集实时显示，调节图像对比度、亮度、饱和度、色度等。</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6.通过视频信号采集医学图像时，图像的几何分辨率应不低于原始图像的分辨率。四、系统管理服务</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1.提供 PACS 和 RIS 的用户登录，统一维护。</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2.根据用户类别或组类别赋予使用权限。</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3.系统所有用户由系统管理员统一创建，并根据该用户在业务流程中担任的角色设置用户权限。</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4.可根据用户需求设置初始密码。可按用户或者组类别赋予使用权限，支持对于个别用户或者用户组， 分配使用或者变更系统资源及数据的使用控制功能。</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5.每个用户必须使用各自的 ID 和密码登录系统，访问系统中的数据。</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6.数据导入/导出</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CT、MR、CR/DR、X 光机、核医学、超声等 DICOM 图像的直接导入/导出；支持 DVD 和 CD 导入/导出， 能接收压缩和非压缩的 DICOM 图像；</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PACS 系统三维功能介绍</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PACS 提供 MPR,MIP 和 VR（容积重建）等功能，提取最佳的诊断信息，为医学影像后处理、分析和诊断提供可靠的解决方案。主要提供以下功能：</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三维与二维联动工作界面，定位操作简单。</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两种重建模式：3D 容积模式，感兴趣 3D 模式。</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多种 3D 渲染方案：常规渲染，MIP 渲染，组织渲染。</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三维滤镜工具：可在 3D 视图进行自由切割，除去非目标组织。三维视图窗宽调节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利用鼠标中键方便调节三维视图窗宽。</w:t>
      </w:r>
    </w:p>
    <w:p>
      <w:pPr>
        <w:pStyle w:val="51"/>
        <w:keepNext w:val="0"/>
        <w:keepLines w:val="0"/>
        <w:pageBreakBefore w:val="0"/>
        <w:widowControl w:val="0"/>
        <w:numPr>
          <w:ilvl w:val="0"/>
          <w:numId w:val="0"/>
        </w:numPr>
        <w:tabs>
          <w:tab w:val="left" w:pos="1196"/>
        </w:tabs>
        <w:kinsoku/>
        <w:wordWrap/>
        <w:overflowPunct/>
        <w:topLinePunct w:val="0"/>
        <w:autoSpaceDE/>
        <w:autoSpaceDN/>
        <w:bidi w:val="0"/>
        <w:adjustRightInd/>
        <w:snapToGrid/>
        <w:spacing w:after="0" w:line="240" w:lineRule="auto"/>
        <w:ind w:leftChars="200" w:right="0" w:rightChars="0"/>
        <w:jc w:val="left"/>
        <w:textAlignment w:val="auto"/>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2.18、</w:t>
      </w:r>
      <w:r>
        <w:rPr>
          <w:rFonts w:hint="eastAsia"/>
          <w:sz w:val="21"/>
          <w:szCs w:val="21"/>
          <w:highlight w:val="none"/>
        </w:rPr>
        <w:t>实验室信息管理系统（LIS）</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与 HIS 电子病历系统连接，自动获取检验申请单，获取病人信息、登记排队</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系统符合卫生部门对临床检验分系统功能规范中的要求，遵循国际标准符合 ISO15189、HL7 等对检验系统的规范要求，建立医学检验体系标准化，实现全实验室标准化管理。</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一、条形码管理系统</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用条形码进行管理，减少因人为干预而造成的失误。使标本唯一性要求得到体现；实现对检验标本流转的电子化管理，减少标本在流转中出现差错；门诊打印条码或刷卡打印条码、病房凭临床医生开具的电子检验申请打印出条码，支持在临床实时查询及打印检验报告单。</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2.条形码是标本唯一性标识；条形码标签是电子申请单的载体；很多的检验设备装有标本条形码阅读设备，便于实现与 LIS 的双向交互；提高工作效率；减少因人为干预而造成的失误，便于检验质量的提高， 减少病人的投诉，提高了病人就诊满意度。</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二、检验报告系统</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1.灵活</w:t>
      </w:r>
      <w:r>
        <w:rPr>
          <w:rFonts w:hint="eastAsia" w:ascii="宋体" w:hAnsi="宋体" w:cs="宋体"/>
          <w:sz w:val="21"/>
          <w:szCs w:val="21"/>
          <w:highlight w:val="none"/>
          <w:lang w:eastAsia="zh-CN"/>
        </w:rPr>
        <w:t>地</w:t>
      </w:r>
      <w:r>
        <w:rPr>
          <w:rFonts w:hint="eastAsia" w:ascii="宋体" w:hAnsi="宋体" w:eastAsia="宋体" w:cs="宋体"/>
          <w:sz w:val="21"/>
          <w:szCs w:val="21"/>
          <w:highlight w:val="none"/>
        </w:rPr>
        <w:t>个性化设置，支持电子签名</w:t>
      </w:r>
      <w:r>
        <w:rPr>
          <w:rFonts w:hint="eastAsia" w:ascii="宋体" w:hAnsi="宋体" w:cs="宋体"/>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2.自助取单</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扫描回执单或者刷卡领自助取单机打印检验报告</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自定义自助取单规则</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3.数据处理：方便数据增加、删除、修改、复制、</w:t>
      </w:r>
      <w:r>
        <w:rPr>
          <w:rFonts w:hint="eastAsia" w:ascii="宋体" w:hAnsi="宋体" w:cs="宋体"/>
          <w:sz w:val="21"/>
          <w:szCs w:val="21"/>
          <w:highlight w:val="none"/>
          <w:lang w:eastAsia="zh-CN"/>
        </w:rPr>
        <w:t>标准编号</w:t>
      </w:r>
      <w:r>
        <w:rPr>
          <w:rFonts w:hint="eastAsia" w:ascii="宋体" w:hAnsi="宋体" w:eastAsia="宋体" w:cs="宋体"/>
          <w:sz w:val="21"/>
          <w:szCs w:val="21"/>
          <w:highlight w:val="none"/>
        </w:rPr>
        <w:t>修改等操作；多种形式的批量增加；多种形式的结果自动合并功能；有复查标本处理功能，能对数据各种操作进行自动记录；支持自定义工作单、工作清单的打印；支持手工镜检功能；支持标本审核、报告结果审核；支持报告合并功能；支持多种形式的批量报告分类打印；支持对报告进行各种标记；支持危急值结果自动报警；能进行不同日期的检验结果处理；支持电子签名。</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4.特殊标本处理：支持报告后修正功能；支持复查标本、危急值结果标本处理记录；支持异常结果、不确定结果、特殊项目阳性标本处理记录；支持作废、退回标本处理记录。</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5.智能审核及实验室结果评价：根据参考值自动判断（参考值根据性别、标本种类和年龄不同而不同； 可以处理特殊生理指征的参考值）；根据标本的基本信息，自动根据相匹配的项目参考值范围进行高低判断，用标记或颜色等手段进行不正常提示；根据病人的唯一标识，对同一病人的历史数据进行回顾，包括所有项目数据回顾；对一些危及病人性命的项目设置报警限。</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丰富的查询、统计与分析：有功能强大的项目分析、均值分析功能；有灵活方便的标本查询、报告查询以及各种记录查询；各种各样的统计报表（每日工作列表、各种形式工作量报表等）；内嵌丰富的操作规程帮助文件。</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7.包含现有设备的 LIS 联机（对于有条码扫描功能的仪器，实现与 LIS 的双向交互式对接） 三、质控系统</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质控品维护：可对质控品批号、质控水平、质控代码、使用仪器、靶值、标准差、失效日期等参数的维护；质控数据输入；支持按日期/项目进行数据手工输入，支持从仪器接收质控结果数据，支持将仪器的标本数据转换成质控数据；</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2.质控报表：支持按用户选定日期进行绘制质控图；</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3.支持各种质控图，质控报表；</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4.质控规则：自动计算各类数据，标准偏差，CV 和范围；报警功能，仪器出现质控超标时可发出报警； 支持质控数据查询及修改；</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5.质控种类：每月室内质控数据统计报表、每月质控报表、每月项目质控数据汇总表、每月项目质控数据控制图、每月上报质量控制图表等。</w:t>
      </w:r>
    </w:p>
    <w:p>
      <w:pPr>
        <w:rPr>
          <w:rFonts w:hint="eastAsia"/>
          <w:sz w:val="21"/>
          <w:szCs w:val="21"/>
          <w:highlight w:val="none"/>
        </w:rPr>
      </w:pPr>
    </w:p>
    <w:p>
      <w:pPr>
        <w:pStyle w:val="5"/>
        <w:numPr>
          <w:ilvl w:val="0"/>
          <w:numId w:val="0"/>
        </w:numPr>
        <w:bidi w:val="0"/>
        <w:rPr>
          <w:rFonts w:hint="eastAsia" w:ascii="宋体" w:hAnsi="宋体" w:eastAsia="宋体" w:cs="宋体"/>
          <w:b/>
          <w:sz w:val="21"/>
          <w:szCs w:val="21"/>
          <w:highlight w:val="none"/>
        </w:rPr>
      </w:pPr>
      <w:r>
        <w:rPr>
          <w:rFonts w:hint="eastAsia"/>
          <w:sz w:val="21"/>
          <w:szCs w:val="21"/>
          <w:highlight w:val="none"/>
          <w:lang w:val="en-US" w:eastAsia="zh-CN"/>
        </w:rPr>
        <w:t>2.19、</w:t>
      </w:r>
      <w:r>
        <w:rPr>
          <w:rFonts w:hint="eastAsia"/>
          <w:sz w:val="21"/>
          <w:szCs w:val="21"/>
          <w:highlight w:val="none"/>
        </w:rPr>
        <w:t>体检系统</w:t>
      </w:r>
    </w:p>
    <w:p>
      <w:pPr>
        <w:pStyle w:val="51"/>
        <w:numPr>
          <w:ilvl w:val="0"/>
          <w:numId w:val="0"/>
        </w:numPr>
        <w:tabs>
          <w:tab w:val="left" w:pos="3154"/>
          <w:tab w:val="left" w:pos="3155"/>
        </w:tabs>
        <w:spacing w:before="0" w:after="0" w:line="242" w:lineRule="auto"/>
        <w:ind w:right="649" w:rightChars="0"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个检体检、团检体检功能；科室</w:t>
      </w:r>
      <w:r>
        <w:rPr>
          <w:rFonts w:hint="eastAsia" w:ascii="宋体" w:hAnsi="宋体" w:cs="宋体"/>
          <w:spacing w:val="-1"/>
          <w:sz w:val="21"/>
          <w:szCs w:val="21"/>
          <w:highlight w:val="none"/>
          <w:lang w:eastAsia="zh-CN"/>
        </w:rPr>
        <w:t>分拣</w:t>
      </w:r>
      <w:r>
        <w:rPr>
          <w:rFonts w:hint="eastAsia" w:ascii="宋体" w:hAnsi="宋体" w:eastAsia="宋体" w:cs="宋体"/>
          <w:spacing w:val="-1"/>
          <w:sz w:val="21"/>
          <w:szCs w:val="21"/>
          <w:highlight w:val="none"/>
        </w:rPr>
        <w:t xml:space="preserve">、科室总检，包含会员管理， </w:t>
      </w:r>
      <w:r>
        <w:rPr>
          <w:rFonts w:hint="eastAsia" w:ascii="宋体" w:hAnsi="宋体" w:eastAsia="宋体" w:cs="宋体"/>
          <w:sz w:val="21"/>
          <w:szCs w:val="21"/>
          <w:highlight w:val="none"/>
        </w:rPr>
        <w:t>检后管理功能；报告生成、体检项目设置，体检表生成，统计报表。</w:t>
      </w:r>
    </w:p>
    <w:p>
      <w:pPr>
        <w:pStyle w:val="5"/>
        <w:numPr>
          <w:ilvl w:val="0"/>
          <w:numId w:val="0"/>
        </w:numPr>
        <w:bidi w:val="0"/>
        <w:rPr>
          <w:rFonts w:hint="eastAsia"/>
          <w:sz w:val="21"/>
          <w:szCs w:val="21"/>
          <w:highlight w:val="none"/>
        </w:rPr>
      </w:pPr>
      <w:r>
        <w:rPr>
          <w:rFonts w:hint="eastAsia"/>
          <w:sz w:val="21"/>
          <w:szCs w:val="21"/>
          <w:highlight w:val="none"/>
          <w:lang w:val="en-US" w:eastAsia="zh-CN"/>
        </w:rPr>
        <w:t>2.20、</w:t>
      </w:r>
      <w:r>
        <w:rPr>
          <w:rFonts w:hint="eastAsia"/>
          <w:sz w:val="21"/>
          <w:szCs w:val="21"/>
          <w:highlight w:val="none"/>
        </w:rPr>
        <w:t>输血管理系统</w:t>
      </w:r>
      <w:r>
        <w:rPr>
          <w:rFonts w:hint="eastAsia"/>
          <w:sz w:val="21"/>
          <w:szCs w:val="21"/>
          <w:highlight w:val="none"/>
          <w:lang w:eastAsia="zh-CN"/>
        </w:rPr>
        <w:t>（</w:t>
      </w:r>
      <w:r>
        <w:rPr>
          <w:rFonts w:hint="eastAsia"/>
          <w:sz w:val="21"/>
          <w:szCs w:val="21"/>
          <w:highlight w:val="none"/>
        </w:rPr>
        <w:t>含市中心血站接口</w:t>
      </w:r>
      <w:r>
        <w:rPr>
          <w:rFonts w:hint="eastAsia"/>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1）完全按照“输血技术规范”开发，符合输血管理规范的要求；</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2）血液制品的出入库管理：包括入库、发血出库、报废、返回血站等处理，查询；支持输血过程的过程质量控制，对血袋有效期进行管理，超效期预报警；</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输血管理：包括与电子病历联网，医生工作站系统实现电子输血申请单管理；输血检验管理，按检验日期、病人信息，检验人，复核人等组合条件查询检验情况；配血管理：对做过输血前检验的病人进行交叉配血，包括输出主侧和次侧配血结果，及输血建议；</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4）发血管理：配血合格后，发血给前来取血的医护人员。同时进行费用划价记账；</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5）输血管理：输血按科室、血液种类、血型等分类统计报表；对输血不良反应管理，对病人输血不良反应</w:t>
      </w:r>
      <w:r>
        <w:rPr>
          <w:rFonts w:hint="eastAsia" w:ascii="宋体" w:hAnsi="宋体" w:cs="宋体"/>
          <w:sz w:val="21"/>
          <w:szCs w:val="21"/>
          <w:highlight w:val="none"/>
          <w:lang w:eastAsia="zh-CN"/>
        </w:rPr>
        <w:t>汇报</w:t>
      </w:r>
      <w:r>
        <w:rPr>
          <w:rFonts w:hint="eastAsia" w:ascii="宋体" w:hAnsi="宋体" w:eastAsia="宋体" w:cs="宋体"/>
          <w:sz w:val="21"/>
          <w:szCs w:val="21"/>
          <w:highlight w:val="none"/>
        </w:rPr>
        <w:t>单记录存档</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6）全面支持条码扫描，血液入库、临床科室取血都可以通过条码扫描机操作。</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7）库存、入库、出库、配血、发血、报废、有效期等查询、统计、报表表打印；</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8）与门诊电子病历、住院电子病历系统联网运行，实现信息共享。</w:t>
      </w:r>
    </w:p>
    <w:p>
      <w:pPr>
        <w:pStyle w:val="5"/>
        <w:numPr>
          <w:ilvl w:val="0"/>
          <w:numId w:val="0"/>
        </w:numPr>
        <w:bidi w:val="0"/>
        <w:rPr>
          <w:rFonts w:hint="eastAsia"/>
          <w:sz w:val="21"/>
          <w:szCs w:val="21"/>
          <w:highlight w:val="none"/>
        </w:rPr>
      </w:pPr>
      <w:r>
        <w:rPr>
          <w:rFonts w:hint="eastAsia"/>
          <w:sz w:val="21"/>
          <w:szCs w:val="21"/>
          <w:highlight w:val="none"/>
          <w:lang w:val="en-US" w:eastAsia="zh-CN"/>
        </w:rPr>
        <w:t>2.21、</w:t>
      </w:r>
      <w:r>
        <w:rPr>
          <w:rFonts w:hint="eastAsia"/>
          <w:sz w:val="21"/>
          <w:szCs w:val="21"/>
          <w:highlight w:val="none"/>
        </w:rPr>
        <w:t>门诊医生排队叫号系统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972"/>
        <w:gridCol w:w="451"/>
        <w:gridCol w:w="981"/>
        <w:gridCol w:w="6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432" w:type="dxa"/>
            <w:gridSpan w:val="2"/>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216"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1" w:type="dxa"/>
            <w:tcBorders>
              <w:righ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w:t>
            </w:r>
          </w:p>
        </w:tc>
        <w:tc>
          <w:tcPr>
            <w:tcW w:w="972" w:type="dxa"/>
            <w:tcBorders>
              <w:lef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分诊队</w:t>
            </w:r>
          </w:p>
        </w:tc>
        <w:tc>
          <w:tcPr>
            <w:tcW w:w="451" w:type="dxa"/>
            <w:tcBorders>
              <w:righ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w:t>
            </w:r>
          </w:p>
        </w:tc>
        <w:tc>
          <w:tcPr>
            <w:tcW w:w="981" w:type="dxa"/>
            <w:tcBorders>
              <w:lef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分诊队</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当选择医生的挂号患者系统自动将医生的诊室对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队列进行分诊。患者的队列分为候诊队列、就诊队列和结束队列。本科室只显示本科室队列。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1" w:type="dxa"/>
            <w:tcBorders>
              <w:righ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号</w:t>
            </w:r>
          </w:p>
        </w:tc>
        <w:tc>
          <w:tcPr>
            <w:tcW w:w="972" w:type="dxa"/>
            <w:tcBorders>
              <w:lef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分诊叫</w:t>
            </w:r>
          </w:p>
        </w:tc>
        <w:tc>
          <w:tcPr>
            <w:tcW w:w="451" w:type="dxa"/>
            <w:tcBorders>
              <w:righ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号</w:t>
            </w:r>
          </w:p>
        </w:tc>
        <w:tc>
          <w:tcPr>
            <w:tcW w:w="981" w:type="dxa"/>
            <w:tcBorders>
              <w:lef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分诊叫</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将对门诊就诊患者进行直接或二次分诊，使得患</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者就诊流程更加合理有序规范。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1" w:type="dxa"/>
            <w:tcBorders>
              <w:righ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w:t>
            </w:r>
          </w:p>
        </w:tc>
        <w:tc>
          <w:tcPr>
            <w:tcW w:w="972" w:type="dxa"/>
            <w:tcBorders>
              <w:lef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队列管</w:t>
            </w:r>
          </w:p>
        </w:tc>
        <w:tc>
          <w:tcPr>
            <w:tcW w:w="451" w:type="dxa"/>
            <w:tcBorders>
              <w:righ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w:t>
            </w:r>
          </w:p>
        </w:tc>
        <w:tc>
          <w:tcPr>
            <w:tcW w:w="981" w:type="dxa"/>
            <w:tcBorders>
              <w:left w:val="nil"/>
            </w:tcBorders>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队列管</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门诊病人挂号后，系统自动将患者挂号信息分配至</w:t>
            </w:r>
            <w:r>
              <w:rPr>
                <w:rFonts w:hint="eastAsia" w:ascii="宋体" w:hAnsi="宋体" w:eastAsia="宋体" w:cs="宋体"/>
                <w:spacing w:val="-21"/>
                <w:sz w:val="21"/>
                <w:szCs w:val="21"/>
                <w:highlight w:val="none"/>
              </w:rPr>
              <w:t>排队系统相应队列中，一般是根据患者挂号号源序号入</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特殊患者优先</w:t>
            </w: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特殊患者优先</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特殊患者如残疾人、军人、急诊等需要特殊照顾的，则通过分诊台管理软件可以设置其优先级，对其</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就诊顺序进行优先处理。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弃号</w:t>
            </w: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弃号</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因患者多次呼叫未到，相关管理人员可对此号移</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呼叫延</w:t>
            </w: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呼叫延</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由于各种原因，患者未在候诊区，可将该患者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迟</w:t>
            </w: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迟</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队列置后延迟呼叫。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呼叫设置</w:t>
            </w: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呼叫间隔时间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设置连续顺呼叫和重复呼的最小间隔时间，避免设定时间内医生多次呼叫。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呼叫人数设置</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根据各科室具体情况不同，可设置每次有效呼叫的人数。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查询报表</w:t>
            </w: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等候的病人数</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查询等候中的患者人数。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3"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32"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6216"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查询统计每日呼叫信息以及统计患者排队时长等</w:t>
            </w:r>
          </w:p>
        </w:tc>
      </w:tr>
    </w:tbl>
    <w:p>
      <w:pPr>
        <w:pStyle w:val="10"/>
        <w:rPr>
          <w:rFonts w:hint="eastAsia" w:ascii="宋体" w:hAnsi="宋体" w:eastAsia="宋体" w:cs="宋体"/>
          <w:b/>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2.22、</w:t>
      </w:r>
      <w:r>
        <w:rPr>
          <w:rFonts w:hint="eastAsia"/>
          <w:sz w:val="21"/>
          <w:szCs w:val="21"/>
          <w:highlight w:val="none"/>
        </w:rPr>
        <w:t>预约挂号系统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1440"/>
        <w:gridCol w:w="6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440"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304"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排班管理</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理排班管</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对门诊医生排班；支持调取排班模板排班，支持排班时段、总号源限号、可预约数限号、网上预约限号、不同网上预约途径限号、同一个医生同一时段可出诊多</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个科室；对已排班班次停诊、停号、取消。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排班模板管理</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按周设置门诊科室的排班模板，供排班调取。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预约设置</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限号设置</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设置各门诊医生挂号最大名额、可预约比等。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诊室设置</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设置各门诊科室的逻辑诊室。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预约查询</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查看预约进展情况，如通过日期、科室、医生等条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件查看预约情况。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登记</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预约登记</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功能集成到挂号窗口，详见门诊挂号功能说明。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预约确认</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预约确认</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对电话预约等未支付的预约进行缴费确认处理； </w:t>
            </w:r>
            <w:r>
              <w:rPr>
                <w:rFonts w:hint="eastAsia" w:ascii="宋体" w:hAnsi="宋体" w:eastAsia="宋体" w:cs="宋体"/>
                <w:spacing w:val="-7"/>
                <w:sz w:val="21"/>
                <w:szCs w:val="21"/>
                <w:highlight w:val="none"/>
              </w:rPr>
              <w:t>功能集成到门诊挂号窗口中，详见门诊挂号功能说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诊间预约</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诊间预约</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嵌入到医生站管理系统中；患者在就诊结束后，接诊医生可直接为患者预约下次复诊时间。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诊间预约不能让医生再录患者信息；支持跨科室、跨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医生为患者预约；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爽约管理</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爽约管理</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医院可以定义患者在一定时间段爽约超出几次则</w:t>
            </w:r>
            <w:r>
              <w:rPr>
                <w:rFonts w:hint="eastAsia" w:ascii="宋体" w:hAnsi="宋体" w:eastAsia="宋体" w:cs="宋体"/>
                <w:spacing w:val="-9"/>
                <w:sz w:val="21"/>
                <w:szCs w:val="21"/>
                <w:highlight w:val="none"/>
              </w:rPr>
              <w:t>被拉入黑名单，该患者将在后面某段时间内不能再使用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预约功能，超过该时间范围则自动解除黑名。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号源</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维护</w:t>
            </w:r>
          </w:p>
        </w:tc>
        <w:tc>
          <w:tcPr>
            <w:tcW w:w="144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号源维护</w:t>
            </w:r>
          </w:p>
        </w:tc>
        <w:tc>
          <w:tcPr>
            <w:tcW w:w="6304"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允许有权限的操作员对号源临时增减调整</w:t>
            </w:r>
          </w:p>
        </w:tc>
      </w:tr>
    </w:tbl>
    <w:p>
      <w:pPr>
        <w:pStyle w:val="10"/>
        <w:rPr>
          <w:rFonts w:hint="eastAsia" w:ascii="宋体" w:hAnsi="宋体" w:eastAsia="宋体" w:cs="宋体"/>
          <w:b/>
          <w:sz w:val="21"/>
          <w:szCs w:val="21"/>
          <w:highlight w:val="none"/>
        </w:rPr>
      </w:pPr>
    </w:p>
    <w:p>
      <w:pPr>
        <w:pStyle w:val="10"/>
        <w:spacing w:before="7"/>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2.23、</w:t>
      </w:r>
      <w:r>
        <w:rPr>
          <w:rFonts w:hint="eastAsia"/>
          <w:sz w:val="21"/>
          <w:szCs w:val="21"/>
          <w:highlight w:val="none"/>
        </w:rPr>
        <w:t>微信公众平台</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1440"/>
        <w:gridCol w:w="6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shd w:val="clear" w:color="auto" w:fill="9FD3A4"/>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440" w:type="dxa"/>
            <w:shd w:val="clear" w:color="auto" w:fill="9FD3A4"/>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339" w:type="dxa"/>
            <w:shd w:val="clear" w:color="auto" w:fill="9FD3A4"/>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微官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w:t>
            </w:r>
            <w:r>
              <w:rPr>
                <w:rFonts w:hint="eastAsia" w:cs="宋体"/>
                <w:sz w:val="21"/>
                <w:szCs w:val="21"/>
                <w:highlight w:val="none"/>
                <w:lang w:eastAsia="zh-CN"/>
              </w:rPr>
              <w:t>概念</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况</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提供显示医院简介</w:t>
            </w:r>
            <w:r>
              <w:rPr>
                <w:rFonts w:hint="eastAsia" w:ascii="宋体" w:hAnsi="宋体" w:eastAsia="宋体" w:cs="宋体"/>
                <w:sz w:val="21"/>
                <w:szCs w:val="21"/>
                <w:highlight w:val="none"/>
              </w:rPr>
              <w:t>（</w:t>
            </w:r>
            <w:r>
              <w:rPr>
                <w:rFonts w:hint="eastAsia" w:ascii="宋体" w:hAnsi="宋体" w:eastAsia="宋体" w:cs="宋体"/>
                <w:spacing w:val="-15"/>
                <w:sz w:val="21"/>
                <w:szCs w:val="21"/>
                <w:highlight w:val="none"/>
              </w:rPr>
              <w:t>如：医院的发展史、医院实力等信息</w:t>
            </w:r>
            <w:r>
              <w:rPr>
                <w:rFonts w:hint="eastAsia" w:ascii="宋体" w:hAnsi="宋体" w:eastAsia="宋体" w:cs="宋体"/>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科室介</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绍</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提供医院的科室分类信息查询、科室信息查询（如：科室</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介绍、治疗范围、科室医生等）。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专家介</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绍</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提供查看</w:t>
            </w:r>
            <w:r>
              <w:rPr>
                <w:rFonts w:hint="eastAsia" w:cs="宋体"/>
                <w:sz w:val="21"/>
                <w:szCs w:val="21"/>
                <w:highlight w:val="none"/>
                <w:lang w:eastAsia="zh-CN"/>
              </w:rPr>
              <w:t>科室</w:t>
            </w:r>
            <w:r>
              <w:rPr>
                <w:rFonts w:hint="eastAsia" w:ascii="宋体" w:hAnsi="宋体" w:eastAsia="宋体" w:cs="宋体"/>
                <w:sz w:val="21"/>
                <w:szCs w:val="21"/>
                <w:highlight w:val="none"/>
              </w:rPr>
              <w:t>的专家信息（如：医生简介、擅长等）。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院内新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闻</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提供医院发布的新闻动态信息查询。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就医指南</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提供医院就医流程与服务信息查询。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来院导</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航</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提供展示定位医院位置，方便患者导航来院就诊。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操作指</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南</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提供平台的操作流程介绍，指导用户使用微信公众号功能。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便捷跳</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提供微官网、诊疗服务、个人中心 3 个主页可以在对应的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主页任意跳转到其他主页，不用退出重新进入。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诊疗服务</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预约挂</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号</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主要提供病人的预约、挂号、收费业务。挂号：选择日期挂号。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预约：可以预约其他时间的号。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收费：只能收挂号费。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智能导</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诊</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提供以人体图为结构，患者根据身体部位及病情状况，推</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荐挂号对应的科室。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排队叫</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号</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提供当前挂号诊室的排队信息查询。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门诊缴</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费</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提供患者的待缴费费用查询并支持费用支付，实现病人无</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需窗口排队完成缴费。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当日挂</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号</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显示当日挂号的医生，方便病人当日预约就诊。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住院预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交金</w:t>
            </w:r>
          </w:p>
        </w:tc>
        <w:tc>
          <w:tcPr>
            <w:tcW w:w="6339" w:type="dxa"/>
            <w:vAlign w:val="top"/>
          </w:tcPr>
          <w:p>
            <w:pPr>
              <w:pStyle w:val="53"/>
              <w:keepNext w:val="0"/>
              <w:keepLines w:val="0"/>
              <w:pageBreakBefore w:val="0"/>
              <w:widowControl w:val="0"/>
              <w:numPr>
                <w:ilvl w:val="0"/>
                <w:numId w:val="6"/>
              </w:numPr>
              <w:tabs>
                <w:tab w:val="left" w:pos="844"/>
              </w:tabs>
              <w:kinsoku/>
              <w:wordWrap/>
              <w:overflowPunct/>
              <w:topLinePunct w:val="0"/>
              <w:autoSpaceDE/>
              <w:autoSpaceDN/>
              <w:bidi w:val="0"/>
              <w:adjustRightInd/>
              <w:snapToGrid/>
              <w:spacing w:after="0"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支持病人住院预交金充值。</w:t>
            </w:r>
          </w:p>
          <w:p>
            <w:pPr>
              <w:pStyle w:val="53"/>
              <w:keepNext w:val="0"/>
              <w:keepLines w:val="0"/>
              <w:pageBreakBefore w:val="0"/>
              <w:widowControl w:val="0"/>
              <w:numPr>
                <w:ilvl w:val="0"/>
                <w:numId w:val="6"/>
              </w:numPr>
              <w:tabs>
                <w:tab w:val="left" w:pos="844"/>
              </w:tabs>
              <w:kinsoku/>
              <w:wordWrap/>
              <w:overflowPunct/>
              <w:topLinePunct w:val="0"/>
              <w:autoSpaceDE/>
              <w:autoSpaceDN/>
              <w:bidi w:val="0"/>
              <w:adjustRightInd/>
              <w:snapToGrid/>
              <w:spacing w:after="0"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查询预交金记录。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住院检</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查检验</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提供病人住院期间所做检查、检验的报告单查询。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满意度</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调查</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提供病人对整个就医过程的医务人员的服务，医院环境及</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医生专业技术等进行评价的功能，同时支持提出建议。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个人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中心</w:t>
            </w: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管理就</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诊人</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提供患者身份信息绑定、已绑定用户查询、添加其它就诊</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人（如：父母、朋友、子女等）、删除就诊人等功能，同时支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持就诊人切换功能。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我的预</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约</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提供患者挂号信息查询，包含已付费与仅预约的信息。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缴费记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录</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提供病人的缴费记录查询。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44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检查检</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验报告查询</w:t>
            </w:r>
          </w:p>
        </w:tc>
        <w:tc>
          <w:tcPr>
            <w:tcW w:w="6339"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提供患者在医院做的检查报告单、检验报告单等报告单信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息查询功能。</w:t>
            </w:r>
          </w:p>
        </w:tc>
      </w:tr>
    </w:tbl>
    <w:p>
      <w:pPr>
        <w:pStyle w:val="10"/>
        <w:spacing w:before="9"/>
        <w:rPr>
          <w:rFonts w:hint="eastAsia" w:ascii="宋体" w:hAnsi="宋体" w:eastAsia="宋体" w:cs="宋体"/>
          <w:b/>
          <w:sz w:val="21"/>
          <w:szCs w:val="21"/>
          <w:highlight w:val="none"/>
        </w:rPr>
      </w:pPr>
    </w:p>
    <w:p>
      <w:pPr>
        <w:pStyle w:val="5"/>
        <w:numPr>
          <w:ilvl w:val="0"/>
          <w:numId w:val="0"/>
        </w:numPr>
        <w:bidi w:val="0"/>
        <w:ind w:left="1022" w:leftChars="0"/>
        <w:rPr>
          <w:rFonts w:hint="eastAsia"/>
          <w:sz w:val="21"/>
          <w:szCs w:val="21"/>
          <w:highlight w:val="none"/>
        </w:rPr>
      </w:pPr>
      <w:r>
        <w:rPr>
          <w:rFonts w:hint="eastAsia"/>
          <w:sz w:val="21"/>
          <w:szCs w:val="21"/>
          <w:highlight w:val="none"/>
          <w:lang w:val="en-US" w:eastAsia="zh-CN"/>
        </w:rPr>
        <w:t>2.24、</w:t>
      </w:r>
      <w:r>
        <w:rPr>
          <w:rFonts w:hint="eastAsia"/>
          <w:sz w:val="21"/>
          <w:szCs w:val="21"/>
          <w:highlight w:val="none"/>
        </w:rPr>
        <w:t>窗口扫码支付</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shd w:val="clear" w:color="auto" w:fill="80C588"/>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7371" w:type="dxa"/>
            <w:shd w:val="clear" w:color="auto" w:fill="80C588"/>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71"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窗口扫码支付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微信窗口扫码支付</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能够支持病人生成微信支付二维码，收费人员用扫描枪扫码病人手机支付码完成支付。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适用于挂号、收费、住院预交金、住院收费等业务。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支付宝窗口扫码支付</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能够支持病人生成支付宝支付二维码，收费人员用扫描枪扫码病人手机支付码完成支付。</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适用于挂号、收费、住院预交金、住院收费等业务。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微信与支付宝退费</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1、异常退费：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如果支付过程如因网络原因或者未知原因产生的病人支付成功，HIS 收费失败，可进入微信或者支付宝后台完成退费。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2、正常退费：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如果病人原因需要退费，则根据医院退费流程完成退费。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71"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个人扫码支付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自助机生成二维支付码接口</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1、提供在自助机</w:t>
            </w:r>
            <w:r>
              <w:rPr>
                <w:rFonts w:hint="eastAsia" w:cs="宋体"/>
                <w:sz w:val="21"/>
                <w:szCs w:val="21"/>
                <w:highlight w:val="none"/>
                <w:lang w:eastAsia="zh-CN"/>
              </w:rPr>
              <w:t>或者其他</w:t>
            </w:r>
            <w:r>
              <w:rPr>
                <w:rFonts w:hint="eastAsia" w:ascii="宋体" w:hAnsi="宋体" w:eastAsia="宋体" w:cs="宋体"/>
                <w:sz w:val="21"/>
                <w:szCs w:val="21"/>
                <w:highlight w:val="none"/>
              </w:rPr>
              <w:t>能够调用服务的终端上生成病人费用二维支付码的功能。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2、能够实现生成的二维支付码完成 HIS 扣费与支付功能。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3、能够支持微信、支付宝的支付方式。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病人处方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签二维支付码功能</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1、提供在病人处方笺上打印出二维支付码。</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2、能够实现病人扫码打印出来的二维支付码完成病人费用缴纳。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病人申请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单二维支付码功能</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1、提供在病人申请单上打印出二维支付码。</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2、能够实现病人扫码打印出来的二维支付码完成病人费用缴纳。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71" w:type="dxa"/>
            <w:gridSpan w:val="2"/>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账单管理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0"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支付账单下载与对账</w:t>
            </w:r>
          </w:p>
        </w:tc>
        <w:tc>
          <w:tcPr>
            <w:tcW w:w="7371" w:type="dxa"/>
            <w:vAlign w:val="top"/>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能够在操作员的日结报表中查询出微信与支付宝支付的明细数据，通过下载微信或者支付宝的账单，完成对账功能。</w:t>
            </w:r>
          </w:p>
        </w:tc>
      </w:tr>
    </w:tbl>
    <w:p>
      <w:pPr>
        <w:pStyle w:val="5"/>
        <w:bidi w:val="0"/>
        <w:rPr>
          <w:rFonts w:hint="eastAsia"/>
          <w:sz w:val="21"/>
          <w:szCs w:val="21"/>
          <w:highlight w:val="none"/>
        </w:rPr>
      </w:pPr>
      <w:r>
        <w:rPr>
          <w:rFonts w:hint="eastAsia"/>
          <w:sz w:val="21"/>
          <w:szCs w:val="21"/>
          <w:highlight w:val="none"/>
          <w:lang w:val="en-US" w:eastAsia="zh-CN"/>
        </w:rPr>
        <w:t>2.25、</w:t>
      </w:r>
      <w:r>
        <w:rPr>
          <w:rFonts w:hint="eastAsia"/>
          <w:sz w:val="21"/>
          <w:szCs w:val="21"/>
          <w:highlight w:val="none"/>
        </w:rPr>
        <w:t>财务数据对账平台</w:t>
      </w:r>
    </w:p>
    <w:p>
      <w:pPr>
        <w:pStyle w:val="10"/>
        <w:spacing w:before="90" w:line="278" w:lineRule="auto"/>
        <w:ind w:left="460" w:right="645"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银联交易对账、自助设备银联交易对账、支付宝、微信互联网支付对账、医保交易对账。支付交易对账查询、统计、报表。</w:t>
      </w:r>
    </w:p>
    <w:p>
      <w:pPr>
        <w:pStyle w:val="5"/>
        <w:numPr>
          <w:ilvl w:val="0"/>
          <w:numId w:val="0"/>
        </w:numPr>
        <w:bidi w:val="0"/>
        <w:rPr>
          <w:rFonts w:hint="eastAsia"/>
          <w:sz w:val="21"/>
          <w:szCs w:val="21"/>
          <w:highlight w:val="none"/>
        </w:rPr>
      </w:pPr>
      <w:r>
        <w:rPr>
          <w:rFonts w:hint="eastAsia"/>
          <w:sz w:val="21"/>
          <w:szCs w:val="21"/>
          <w:highlight w:val="none"/>
          <w:lang w:val="en-US" w:eastAsia="zh-CN"/>
        </w:rPr>
        <w:t>2.26、</w:t>
      </w:r>
      <w:r>
        <w:rPr>
          <w:rFonts w:hint="eastAsia"/>
          <w:sz w:val="21"/>
          <w:szCs w:val="21"/>
          <w:highlight w:val="none"/>
        </w:rPr>
        <w:t>银医通接口</w:t>
      </w:r>
    </w:p>
    <w:p>
      <w:pPr>
        <w:pStyle w:val="10"/>
        <w:spacing w:before="90"/>
        <w:ind w:left="880"/>
        <w:rPr>
          <w:rFonts w:hint="eastAsia" w:ascii="宋体" w:hAnsi="宋体" w:eastAsia="宋体" w:cs="宋体"/>
          <w:sz w:val="21"/>
          <w:szCs w:val="21"/>
          <w:highlight w:val="none"/>
        </w:rPr>
      </w:pPr>
      <w:r>
        <w:rPr>
          <w:rFonts w:hint="eastAsia" w:ascii="宋体" w:hAnsi="宋体" w:eastAsia="宋体" w:cs="宋体"/>
          <w:sz w:val="21"/>
          <w:szCs w:val="21"/>
          <w:highlight w:val="none"/>
        </w:rPr>
        <w:t>符合银医通接口系统的基本功能。</w:t>
      </w:r>
    </w:p>
    <w:p>
      <w:pPr>
        <w:pStyle w:val="5"/>
        <w:numPr>
          <w:ilvl w:val="0"/>
          <w:numId w:val="0"/>
        </w:numPr>
        <w:bidi w:val="0"/>
        <w:rPr>
          <w:rFonts w:hint="eastAsia"/>
          <w:sz w:val="21"/>
          <w:szCs w:val="21"/>
          <w:highlight w:val="none"/>
        </w:rPr>
      </w:pPr>
      <w:r>
        <w:rPr>
          <w:rFonts w:hint="eastAsia"/>
          <w:sz w:val="21"/>
          <w:szCs w:val="21"/>
          <w:highlight w:val="none"/>
          <w:lang w:val="en-US" w:eastAsia="zh-CN"/>
        </w:rPr>
        <w:t>2.27、</w:t>
      </w:r>
      <w:r>
        <w:rPr>
          <w:rFonts w:hint="eastAsia"/>
          <w:sz w:val="21"/>
          <w:szCs w:val="21"/>
          <w:highlight w:val="none"/>
        </w:rPr>
        <w:t>住院医生电子病历质量监控系统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344"/>
        <w:gridCol w:w="6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tcBorders>
              <w:bottom w:val="single" w:color="000000" w:sz="12" w:space="0"/>
            </w:tcBorders>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344"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433" w:type="dxa"/>
            <w:shd w:val="clear" w:color="auto" w:fill="80C588"/>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restart"/>
            <w:tcBorders>
              <w:top w:val="single" w:color="000000" w:sz="12"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病历质控</w:t>
            </w: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住院病历</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显示住院患者信息，提供病历浏览、病历评分、逻辑监控、时限监控功能。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病历浏览：支持浏览历史病历，方便查看和对比。</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病历评分：对本次病历进行评分，支持导入时限和内涵质量</w:t>
            </w:r>
            <w:r>
              <w:rPr>
                <w:rFonts w:hint="eastAsia" w:ascii="宋体" w:hAnsi="宋体" w:eastAsia="宋体" w:cs="宋体"/>
                <w:sz w:val="21"/>
                <w:szCs w:val="21"/>
                <w:highlight w:val="none"/>
              </w:rPr>
              <w:t>评定结果</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支持查看内涵质量监控结果和时限制监控结果</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内涵质量监控：住院期间产生逻辑监控违规记录。</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时限监控：住院期间产生的时限监控违规记录。如入院 24</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小时内写入院记录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病历自评</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提供按条件进行全院患者查询功能，显示本次住院病历评分情况，提供自动评定功能。已评定使用自动评定功能会覆盖上次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综合信息</w:t>
            </w: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综合信息统计</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显示全院概要信息及明细数据。如</w:t>
            </w:r>
            <w:r>
              <w:rPr>
                <w:rFonts w:hint="eastAsia" w:cs="宋体"/>
                <w:sz w:val="21"/>
                <w:szCs w:val="21"/>
                <w:highlight w:val="none"/>
                <w:lang w:eastAsia="zh-CN"/>
              </w:rPr>
              <w:t>：</w:t>
            </w:r>
            <w:r>
              <w:rPr>
                <w:rFonts w:hint="eastAsia" w:ascii="宋体" w:hAnsi="宋体" w:eastAsia="宋体" w:cs="宋体"/>
                <w:sz w:val="21"/>
                <w:szCs w:val="21"/>
                <w:highlight w:val="none"/>
              </w:rPr>
              <w:t>今日入院、明日出院、今日出院数、病危病人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显示全院病历质量信息及明细数据。如：乙级病历、丙级病历、内涵和时限违规、病历雷同率等。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支持按科室和医生下钻显示所有指标，并且所有指标能钻取</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到最终数据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系统维护</w:t>
            </w: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监控项目维护</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对病历质量监控项目、评分标准等进行维护，提供对监控项目的新增，修改，删除，启/停用及查看标准监控表格功能。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支持区别评分标准内和外的项目</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对内涵质量项目支持三个层面代码级定义（前台代码、后台代码、SQL 语句）内涵质量控制</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对时限项目支持定义启动事件和结束事件，支持不同护理基</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本时限不同，支持一次性和循环事件定义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特殊事件维护</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根据住院业务发生时提交到处理中心的消息，定义特殊事件的消息格式。</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对住院过程中的特殊事件进行监控管理，提供对时限监控特殊事件的新增，修改，删除功能。</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支持由医院任意定义特殊事件：如：80 岁以上患者入院触</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发某消息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代码维护</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监控规则参考代码管理，提供对参考代码的新增，修改，删</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决策分析</w:t>
            </w: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时限监控</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分析住院患者产生的时限监控记录，提供按病区，医生，患</w:t>
            </w:r>
            <w:r>
              <w:rPr>
                <w:rFonts w:hint="eastAsia" w:ascii="宋体" w:hAnsi="宋体" w:eastAsia="宋体" w:cs="宋体"/>
                <w:spacing w:val="-8"/>
                <w:sz w:val="21"/>
                <w:szCs w:val="21"/>
                <w:highlight w:val="none"/>
              </w:rPr>
              <w:t>者，违规项目、违规时间进行组合统计</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统计项目和项目顺序可</w:t>
            </w:r>
            <w:r>
              <w:rPr>
                <w:rFonts w:hint="eastAsia" w:ascii="宋体" w:hAnsi="宋体" w:eastAsia="宋体" w:cs="宋体"/>
                <w:sz w:val="21"/>
                <w:szCs w:val="21"/>
                <w:highlight w:val="none"/>
              </w:rPr>
              <w:t>有医生定义）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支持对统计结果下钻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内涵</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质量监控</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类似时限监控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p>
        </w:tc>
        <w:tc>
          <w:tcPr>
            <w:tcW w:w="134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病历雷同</w:t>
            </w:r>
          </w:p>
        </w:tc>
        <w:tc>
          <w:tcPr>
            <w:tcW w:w="64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查询住院患者产生</w:t>
            </w:r>
            <w:r>
              <w:rPr>
                <w:rFonts w:hint="eastAsia" w:cs="宋体"/>
                <w:sz w:val="21"/>
                <w:szCs w:val="21"/>
                <w:highlight w:val="none"/>
                <w:lang w:eastAsia="zh-CN"/>
              </w:rPr>
              <w:t>的</w:t>
            </w:r>
            <w:r>
              <w:rPr>
                <w:rFonts w:hint="eastAsia" w:ascii="宋体" w:hAnsi="宋体" w:eastAsia="宋体" w:cs="宋体"/>
                <w:sz w:val="21"/>
                <w:szCs w:val="21"/>
                <w:highlight w:val="none"/>
              </w:rPr>
              <w:t>病程记录雷同数据，提供查看具体相似度对比信息。</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支持不同颜色高光逐一对比显示每个变化</w:t>
            </w:r>
          </w:p>
        </w:tc>
      </w:tr>
    </w:tbl>
    <w:p>
      <w:pPr>
        <w:pStyle w:val="10"/>
        <w:rPr>
          <w:rFonts w:hint="eastAsia" w:ascii="宋体" w:hAnsi="宋体" w:eastAsia="宋体" w:cs="宋体"/>
          <w:b/>
          <w:sz w:val="21"/>
          <w:szCs w:val="21"/>
          <w:highlight w:val="none"/>
        </w:rPr>
      </w:pPr>
    </w:p>
    <w:p>
      <w:pPr>
        <w:pStyle w:val="10"/>
        <w:spacing w:before="14"/>
        <w:rPr>
          <w:rFonts w:hint="eastAsia" w:ascii="宋体" w:hAnsi="宋体" w:eastAsia="宋体" w:cs="宋体"/>
          <w:b/>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2.28、</w:t>
      </w:r>
      <w:r>
        <w:rPr>
          <w:rFonts w:hint="eastAsia"/>
          <w:sz w:val="21"/>
          <w:szCs w:val="21"/>
          <w:highlight w:val="none"/>
        </w:rPr>
        <w:t>合理用药智能监管系统</w:t>
      </w:r>
    </w:p>
    <w:p>
      <w:pPr>
        <w:pStyle w:val="5"/>
        <w:spacing w:before="20" w:line="384"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1、医嘱（处方）审查功能</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PASS 系统的审查功能包括：</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（1）剂量范围审查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用户输入的药品用法用量是否处于药品说明书推荐的剂量范围内。能对最大、最小剂量（次剂量、日剂量）、极量（次极量、日极量）、用药频率、用药持续时间、疗程总剂量进行审查，系统规则提供不同年龄段和特定给药途径下的正常使用范围。系统还可根据用户自定义设置，结合适应症进行剂量范围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（2）超多日用量审查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检查处方药品用量是否符合国家《处方管理办法》中处方一般不得超过 7 日用量等相关规定，如果门诊处方药品、急诊处方药品、麻醉药品、精神类药品、慢性病患者处方药品用量超出规定范围，则系统发出警告提醒医生可能需要调整处方药品用量。</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（3）累积剂量</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检查住院患者医嘱药品用药是否超过累积剂量上限，如果住院患者医嘱药品用量超出上限，则系统发出警告提醒医生可能需要调整处方药品用量或者更换药品。</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（4）药物相互作用审查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两两药物合用时可能产生的不良相互作用。这些不良相互作用可能导致药物治疗作用降低、产生或增强毒性等变化，使药品的实际使用效果发生改变，导致不良反应的发生，是临床用药中需要密切关注的问题。如果处方中存在具有不良相互作用的药物，则系统发出警告提醒医生可能需要调整病人的处方药品或更改药物治疗方案。</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（5）体外配伍审查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注射剂药物配伍使用时，是否存在理化相容或不相容。本模块审查关注的是注射剂药物配伍时是否有足以引起不良后果的理化改变（如颜色改变、沉淀、混沌、微粒增加、酸碱性变化等）。如果处方中存在足以引起不良后果的理化改变，则系统发出警告提醒医生可能需要调整病人的处方药品或更改药物治疗方案。</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（6）配伍浓度审查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检查注射剂药物配伍使用时，配伍后的药品浓度是否在药品说明书推荐的给药浓度范围内，若不在此范围内则系统发出警告提醒医生可能需要调整病人的处方药品或溶媒的用量。</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（7）钾离子</w:t>
      </w:r>
      <w:r>
        <w:rPr>
          <w:rFonts w:hint="eastAsia" w:ascii="宋体" w:hAnsi="宋体" w:cs="宋体"/>
          <w:sz w:val="21"/>
          <w:szCs w:val="21"/>
          <w:highlight w:val="none"/>
          <w:lang w:eastAsia="zh-CN"/>
        </w:rPr>
        <w:t>检测</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检查一个或多个含钾药物</w:t>
      </w:r>
      <w:r>
        <w:rPr>
          <w:rFonts w:hint="eastAsia" w:ascii="宋体" w:hAnsi="宋体" w:cs="宋体"/>
          <w:sz w:val="21"/>
          <w:szCs w:val="21"/>
          <w:highlight w:val="none"/>
          <w:lang w:eastAsia="zh-CN"/>
        </w:rPr>
        <w:t>和其他</w:t>
      </w:r>
      <w:r>
        <w:rPr>
          <w:rFonts w:hint="eastAsia" w:ascii="宋体" w:hAnsi="宋体" w:eastAsia="宋体" w:cs="宋体"/>
          <w:sz w:val="21"/>
          <w:szCs w:val="21"/>
          <w:highlight w:val="none"/>
        </w:rPr>
        <w:t>注射剂药物同组配伍使用时，配伍后的注射液钾离子总浓度、每日补钾量是否合理。若不合理则系统发出警告提醒医生可能需要调整病人的处方药品或溶媒的用量。</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（8）TPN 审查（全肠外营养液审查）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 TPN 处方（医嘱）的电解质、氨基酸、脂肪乳等营养物质比例是否均衡。若配伍后的 TPN 处方</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（医嘱）糖脂比、热氮比、离子浓度、每日补液量等不符合均衡性要求，则系统发出警告提醒医生可能需要调整电解质、氨基酸、脂肪乳的比例。</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（9）药物</w:t>
      </w:r>
      <w:r>
        <w:rPr>
          <w:rFonts w:hint="eastAsia" w:ascii="宋体" w:hAnsi="宋体" w:cs="宋体"/>
          <w:sz w:val="21"/>
          <w:szCs w:val="21"/>
          <w:highlight w:val="none"/>
          <w:lang w:eastAsia="zh-CN"/>
        </w:rPr>
        <w:t>禁忌证</w:t>
      </w:r>
      <w:r>
        <w:rPr>
          <w:rFonts w:hint="eastAsia" w:ascii="宋体" w:hAnsi="宋体" w:eastAsia="宋体" w:cs="宋体"/>
          <w:sz w:val="21"/>
          <w:szCs w:val="21"/>
          <w:highlight w:val="none"/>
        </w:rPr>
        <w:t>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本审查功能将病人的疾病情况与药物</w:t>
      </w:r>
      <w:r>
        <w:rPr>
          <w:rFonts w:hint="eastAsia" w:ascii="宋体" w:hAnsi="宋体" w:cs="宋体"/>
          <w:sz w:val="21"/>
          <w:szCs w:val="21"/>
          <w:highlight w:val="none"/>
          <w:lang w:eastAsia="zh-CN"/>
        </w:rPr>
        <w:t>禁忌证</w:t>
      </w:r>
      <w:r>
        <w:rPr>
          <w:rFonts w:hint="eastAsia" w:ascii="宋体" w:hAnsi="宋体" w:eastAsia="宋体" w:cs="宋体"/>
          <w:sz w:val="21"/>
          <w:szCs w:val="21"/>
          <w:highlight w:val="none"/>
        </w:rPr>
        <w:t>关联起来，若处方中的</w:t>
      </w:r>
      <w:r>
        <w:rPr>
          <w:rFonts w:hint="eastAsia" w:ascii="宋体" w:hAnsi="宋体" w:cs="宋体"/>
          <w:sz w:val="21"/>
          <w:szCs w:val="21"/>
          <w:highlight w:val="none"/>
          <w:lang w:eastAsia="zh-CN"/>
        </w:rPr>
        <w:t>药品禁忌证</w:t>
      </w:r>
      <w:r>
        <w:rPr>
          <w:rFonts w:hint="eastAsia" w:ascii="宋体" w:hAnsi="宋体" w:eastAsia="宋体" w:cs="宋体"/>
          <w:sz w:val="21"/>
          <w:szCs w:val="21"/>
          <w:highlight w:val="none"/>
        </w:rPr>
        <w:t>与病人疾病情况相关时， 说明病人存在使用某个药物的</w:t>
      </w:r>
      <w:r>
        <w:rPr>
          <w:rFonts w:hint="eastAsia" w:ascii="宋体" w:hAnsi="宋体" w:cs="宋体"/>
          <w:sz w:val="21"/>
          <w:szCs w:val="21"/>
          <w:highlight w:val="none"/>
          <w:lang w:eastAsia="zh-CN"/>
        </w:rPr>
        <w:t>禁忌证</w:t>
      </w:r>
      <w:r>
        <w:rPr>
          <w:rFonts w:hint="eastAsia" w:ascii="宋体" w:hAnsi="宋体" w:eastAsia="宋体" w:cs="宋体"/>
          <w:sz w:val="21"/>
          <w:szCs w:val="21"/>
          <w:highlight w:val="none"/>
        </w:rPr>
        <w:t>，则系统发出警告提醒医生可能需要调整病人的处方药品或更改药物治疗方案。</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（10）不良反应审查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本审查功能将病人的疾病情况与药物不良反应关联起来，若处方中的药品可能引起的某种不良反应， 恰好与病人存在疾病情况相同或类似时，则系统发出警告提醒医生注意药品不良反应可能使病人原有病情加重，可能需要调整病人的处方药品或更改药物治疗方案。</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（11）门诊输液</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本审查功能根据医院规定的门诊限制输液科室和疾病清单，监测医生开出的处方输液药品是否满足科室和疾病要求，若门诊处方输液药品超适应症、超科室使用权限，系统则发出警告提醒医生。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（12）儿童用药审查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提示当病人年龄阶段为儿童时，检查病人处方中是否存在不适于儿童使用的药品。帮助医生或药师更合理地对儿童用药，防止药物不良事件的发生。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（13）成人用药审查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提示当病人年龄阶段为成人时，检查病人处方中是否存在不适宜成年人使用的药品（如多巴丝肼片不能用于 25 岁以下的成人）。帮助医生或药师更合理地对成人用药，防止药物不良事件的发生。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（14）老人用药审查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提示当病人年龄阶段为老人时，检查病人处方中是否存在不适宜老年人使用的药品。帮助医生或药师更合理地对老人用药，防止药物不良事件的发生。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（15）妊娠用药审查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提示当病人为妊娠期妇女时，检查病人处方中是否存在不适于妊娠期使用的药品。帮助医生或药师在病人妊娠期间合理用药，提高妊娠用药安全性。</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（16）哺乳用药审查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哺乳期妇女用药时，药物除对母亲产生影响外，还可通过乳汁进入婴儿体内，从而对婴儿也产生影响。本审查功能可提示当病人为哺乳期妇女时，检查病人处方中是否存在不适宜哺乳妇女使用的药品。帮助医生或药师在病人哺乳期间合理用药，防止针对哺乳妇女和乳儿的药物不良事件发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（17）性别用药审查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提示病人处方中是否存在不适宜用于该病人性别的药品（如乌鸡白凤丸，用于气血两虚、腰膝酸软、调经止带，则不适宜用于男性患者）。帮助医生或药师合理用药，防止药物不良事件的发生。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（18）药物过敏审查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在获取病人皮试结果、既往过敏原或过敏类信息的基础上，提示病人处方中是否存在与病人既往过敏原相关、可能导致类似过敏反应的药品。帮助医生或药师合理用药，防止药物不良事件的发生。</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（19）给药途径审查（剂型</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给药途径、药品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给药途径审查）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病人处方中是否存在药品剂型与给药途径不匹配，如片剂不可注射、滴眼液不可口服等；或者药品不能用于某些给药途径，如胰岛素注射液不能用于口服，氯化钾注射液不能静推等。临床上如果有此类用药不规范的情况，即予以警示提醒，并提示用户可能有处方录入错误。</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（20）重复用药审查（重复成分、重复治疗审查）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病人用药处方中的两个或多个药品是否存在相同的药物成分，可能导致重复用药问题；重复治疗审查提示处方中的两个或多个药品（带给药途径）同属某个药物治疗分类（即具有同一种治疗目的），可能存在重复用药的问题。</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（21）药物检验值审查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该模块可直接根据获取的患者检验值审查处方（医嘱）药品使用是否合理。</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（22）检验检查申请单审查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检查审查医生开处方时，开具的检验检查申请单是否与患者基本情况（性别、年龄、诊断）相符，如男性患者开具了妇科相关检查，系统会警示提醒医生该检查项目与患者性别不符。</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（23）规范性审查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检查医生的处方医嘱填写是否符合《处方管理办法》中对于处方填写规范性的要求，比如处方未填写诊断、未填写给药途径等。若医生未按照处方管理要求进行填写，则系统发出警示。</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（24）医保审查</w:t>
      </w:r>
    </w:p>
    <w:p>
      <w:pPr>
        <w:pStyle w:val="10"/>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提示处方、医嘱中的药品是否符合国家或省级医保政策报销要求。</w:t>
      </w:r>
    </w:p>
    <w:p>
      <w:pPr>
        <w:pStyle w:val="5"/>
        <w:spacing w:line="371"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2、医药信息在线查询功能</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PASS</w:t>
      </w:r>
      <w:r>
        <w:rPr>
          <w:rFonts w:hint="eastAsia" w:ascii="宋体" w:hAnsi="宋体" w:eastAsia="宋体" w:cs="宋体"/>
          <w:spacing w:val="-8"/>
          <w:sz w:val="21"/>
          <w:szCs w:val="21"/>
          <w:highlight w:val="none"/>
        </w:rPr>
        <w:t xml:space="preserve"> 系统提供医院在用药品的药品说明书、中药材专论、重要提示信息查询功能。系统药品说明书全部来源于国家药品监督管理局（NMPA）批准发布的厂家药品说明书。系统将当前在用药品的说明书优先放在第一篇方便查看。中药材专论信息主要来源于中国药典及中医专著，录入中药材药品时，可快速查看相</w:t>
      </w:r>
      <w:r>
        <w:rPr>
          <w:rFonts w:hint="eastAsia" w:ascii="宋体" w:hAnsi="宋体" w:eastAsia="宋体" w:cs="宋体"/>
          <w:spacing w:val="-10"/>
          <w:sz w:val="21"/>
          <w:szCs w:val="21"/>
          <w:highlight w:val="none"/>
        </w:rPr>
        <w:t xml:space="preserve">应中药材用法用量、毒性信息、注意事项、临床应用等信息。重要提示信息包括 </w:t>
      </w:r>
      <w:r>
        <w:rPr>
          <w:rFonts w:hint="eastAsia" w:ascii="宋体" w:hAnsi="宋体" w:eastAsia="宋体" w:cs="宋体"/>
          <w:sz w:val="21"/>
          <w:szCs w:val="21"/>
          <w:highlight w:val="none"/>
        </w:rPr>
        <w:t>PASS</w:t>
      </w:r>
      <w:r>
        <w:rPr>
          <w:rFonts w:hint="eastAsia" w:ascii="宋体" w:hAnsi="宋体" w:eastAsia="宋体" w:cs="宋体"/>
          <w:spacing w:val="-9"/>
          <w:sz w:val="21"/>
          <w:szCs w:val="21"/>
          <w:highlight w:val="none"/>
        </w:rPr>
        <w:t xml:space="preserve"> 药品重要信息、医院</w:t>
      </w:r>
      <w:r>
        <w:rPr>
          <w:rFonts w:hint="eastAsia" w:ascii="宋体" w:hAnsi="宋体" w:eastAsia="宋体" w:cs="宋体"/>
          <w:sz w:val="21"/>
          <w:szCs w:val="21"/>
          <w:highlight w:val="none"/>
        </w:rPr>
        <w:t>药品重要信息和药品属性信息，其中医院药品重要信息和药品属性信息均可由用户根据医院实际情况对显示内容进行自定义维护。</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388"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 xml:space="preserve">此外，用户还能够在 </w:t>
      </w:r>
      <w:r>
        <w:rPr>
          <w:rFonts w:hint="eastAsia" w:ascii="宋体" w:hAnsi="宋体" w:eastAsia="宋体" w:cs="宋体"/>
          <w:sz w:val="21"/>
          <w:szCs w:val="21"/>
          <w:highlight w:val="none"/>
        </w:rPr>
        <w:t>PASS</w:t>
      </w:r>
      <w:r>
        <w:rPr>
          <w:rFonts w:hint="eastAsia" w:ascii="宋体" w:hAnsi="宋体" w:eastAsia="宋体" w:cs="宋体"/>
          <w:spacing w:val="-9"/>
          <w:sz w:val="21"/>
          <w:szCs w:val="21"/>
          <w:highlight w:val="none"/>
        </w:rPr>
        <w:t xml:space="preserve"> 系统中任意一篇说明书的基础上，自定义修改其内容，以修正说明书版本差</w:t>
      </w:r>
      <w:r>
        <w:rPr>
          <w:rFonts w:hint="eastAsia" w:ascii="宋体" w:hAnsi="宋体" w:eastAsia="宋体" w:cs="宋体"/>
          <w:sz w:val="21"/>
          <w:szCs w:val="21"/>
          <w:highlight w:val="none"/>
        </w:rPr>
        <w:t>别带来的信息偏差。</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3、用药指导单</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PASS 系统提供患者用药教育指导单生成功能，医生开具处方后，系统可以根据患者基本信息、疾病情况以及处方药品信息自动生成有针对性的患者用药教育指导单，方便医生指导病人准确用药。系统还提供用药指导单打印功能。</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4、审查结果的统计分析功能</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PASS 系统在进行用药医嘱监测时，可以对监测结果的数据进行自动采集和保存，并能提供全面的药</w:t>
      </w:r>
      <w:r>
        <w:rPr>
          <w:rFonts w:hint="eastAsia" w:ascii="宋体" w:hAnsi="宋体" w:eastAsia="宋体" w:cs="宋体"/>
          <w:spacing w:val="-8"/>
          <w:sz w:val="21"/>
          <w:szCs w:val="21"/>
          <w:highlight w:val="none"/>
        </w:rPr>
        <w:t>物</w:t>
      </w:r>
      <w:r>
        <w:rPr>
          <w:rFonts w:hint="eastAsia" w:ascii="宋体" w:hAnsi="宋体" w:eastAsia="宋体" w:cs="宋体"/>
          <w:spacing w:val="-18"/>
          <w:sz w:val="21"/>
          <w:szCs w:val="21"/>
          <w:highlight w:val="none"/>
        </w:rPr>
        <w:t>审查结果的统计和分析。用户可以根据需要设定统计条件和统计范围，显示问题医嘱的发生情况、问题类型、</w:t>
      </w:r>
      <w:r>
        <w:rPr>
          <w:rFonts w:hint="eastAsia" w:ascii="宋体" w:hAnsi="宋体" w:eastAsia="宋体" w:cs="宋体"/>
          <w:sz w:val="21"/>
          <w:szCs w:val="21"/>
          <w:highlight w:val="none"/>
        </w:rPr>
        <w:t>分布科室、严重程度和发生频率，并可以“科室</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医生</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药品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时间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监测类型”、  “警示级别”等多种关键字对病人用药处方进行监测结果的全方位统计和分析，能生成各种统计结果报表</w:t>
      </w:r>
      <w:r>
        <w:rPr>
          <w:rFonts w:hint="eastAsia" w:ascii="宋体" w:hAnsi="宋体" w:eastAsia="宋体" w:cs="宋体"/>
          <w:spacing w:val="-20"/>
          <w:sz w:val="21"/>
          <w:szCs w:val="21"/>
          <w:highlight w:val="none"/>
        </w:rPr>
        <w:t xml:space="preserve">和统计图，并可以 </w:t>
      </w:r>
      <w:r>
        <w:rPr>
          <w:rFonts w:hint="eastAsia" w:ascii="宋体" w:hAnsi="宋体" w:eastAsia="宋体" w:cs="宋体"/>
          <w:sz w:val="21"/>
          <w:szCs w:val="21"/>
          <w:highlight w:val="none"/>
        </w:rPr>
        <w:t>Excel</w:t>
      </w:r>
      <w:r>
        <w:rPr>
          <w:rFonts w:hint="eastAsia" w:ascii="宋体" w:hAnsi="宋体" w:eastAsia="宋体" w:cs="宋体"/>
          <w:spacing w:val="-15"/>
          <w:sz w:val="21"/>
          <w:szCs w:val="21"/>
          <w:highlight w:val="none"/>
        </w:rPr>
        <w:t xml:space="preserve"> 文件的形式导出，为医院的相关部门提供医院合理用药分析研究和管理的数据信息。</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PASS 系统能进行如下项目的关于问题处方的查询、统计和分析：</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PASS</w:t>
      </w:r>
      <w:r>
        <w:rPr>
          <w:rFonts w:hint="eastAsia" w:ascii="宋体" w:hAnsi="宋体" w:eastAsia="宋体" w:cs="宋体"/>
          <w:spacing w:val="-8"/>
          <w:sz w:val="21"/>
          <w:szCs w:val="21"/>
          <w:highlight w:val="none"/>
        </w:rPr>
        <w:t xml:space="preserve"> 监测结果问题明细清单表；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按问题类型统计监测结果表；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按警示级别统计监测结果表；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按科室问题类型统计监测结果表；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按科室警示级别统计监测结果表；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按医生问题类型统计监测结果表；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按医生警示级别统计监测结果表；</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按药品统计监测结果表（按问题类型）；</w:t>
      </w:r>
    </w:p>
    <w:p>
      <w:pPr>
        <w:pStyle w:val="51"/>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按药品统计监测结果表（按警示级别）；</w:t>
      </w:r>
    </w:p>
    <w:p>
      <w:pPr>
        <w:pStyle w:val="51"/>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after="0" w:line="24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用药理由统计表。</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每个问题均</w:t>
      </w:r>
      <w:r>
        <w:rPr>
          <w:rFonts w:hint="eastAsia" w:ascii="宋体" w:hAnsi="宋体" w:cs="宋体"/>
          <w:sz w:val="21"/>
          <w:szCs w:val="21"/>
          <w:highlight w:val="none"/>
          <w:lang w:eastAsia="zh-CN"/>
        </w:rPr>
        <w:t>可追溯</w:t>
      </w:r>
      <w:r>
        <w:rPr>
          <w:rFonts w:hint="eastAsia" w:ascii="宋体" w:hAnsi="宋体" w:eastAsia="宋体" w:cs="宋体"/>
          <w:sz w:val="21"/>
          <w:szCs w:val="21"/>
          <w:highlight w:val="none"/>
        </w:rPr>
        <w:t>到原始处方信息，能查看病人的基本情况、诊断、处方的所有药品等信息，及</w:t>
      </w:r>
      <w:r>
        <w:rPr>
          <w:rFonts w:hint="eastAsia" w:ascii="宋体" w:hAnsi="宋体" w:cs="宋体"/>
          <w:sz w:val="21"/>
          <w:szCs w:val="21"/>
          <w:highlight w:val="none"/>
          <w:lang w:eastAsia="zh-CN"/>
        </w:rPr>
        <w:t>检测</w:t>
      </w:r>
      <w:r>
        <w:rPr>
          <w:rFonts w:hint="eastAsia" w:ascii="宋体" w:hAnsi="宋体" w:eastAsia="宋体" w:cs="宋体"/>
          <w:sz w:val="21"/>
          <w:szCs w:val="21"/>
          <w:highlight w:val="none"/>
        </w:rPr>
        <w:t>到的问题的详细信息，方便药师进行分析评估。</w:t>
      </w:r>
    </w:p>
    <w:p>
      <w:pPr>
        <w:spacing w:after="0" w:line="278" w:lineRule="auto"/>
        <w:rPr>
          <w:rFonts w:hint="eastAsia" w:ascii="宋体" w:hAnsi="宋体" w:eastAsia="宋体" w:cs="宋体"/>
          <w:sz w:val="21"/>
          <w:szCs w:val="21"/>
          <w:highlight w:val="none"/>
        </w:rPr>
        <w:sectPr>
          <w:pgSz w:w="11910" w:h="16840"/>
          <w:pgMar w:top="1400" w:right="520" w:bottom="1160" w:left="620" w:header="0" w:footer="895" w:gutter="0"/>
          <w:pgNumType w:fmt="decimal"/>
          <w:cols w:space="720" w:num="1"/>
        </w:sectPr>
      </w:pPr>
    </w:p>
    <w:p>
      <w:pPr>
        <w:pStyle w:val="5"/>
        <w:numPr>
          <w:ilvl w:val="0"/>
          <w:numId w:val="0"/>
        </w:numPr>
        <w:bidi w:val="0"/>
        <w:rPr>
          <w:rFonts w:hint="eastAsia"/>
          <w:sz w:val="21"/>
          <w:szCs w:val="21"/>
          <w:highlight w:val="none"/>
        </w:rPr>
      </w:pPr>
      <w:r>
        <w:rPr>
          <w:rFonts w:hint="eastAsia"/>
          <w:sz w:val="21"/>
          <w:szCs w:val="21"/>
          <w:highlight w:val="none"/>
          <w:lang w:val="en-US" w:eastAsia="zh-CN"/>
        </w:rPr>
        <w:t>2.29、</w:t>
      </w:r>
      <w:r>
        <w:rPr>
          <w:rFonts w:hint="eastAsia"/>
          <w:sz w:val="21"/>
          <w:szCs w:val="21"/>
          <w:highlight w:val="none"/>
        </w:rPr>
        <w:t>手术麻醉信息管理系统</w:t>
      </w:r>
    </w:p>
    <w:p>
      <w:pPr>
        <w:pStyle w:val="10"/>
        <w:spacing w:before="11"/>
        <w:rPr>
          <w:rFonts w:hint="eastAsia" w:ascii="宋体" w:hAnsi="宋体" w:eastAsia="宋体" w:cs="宋体"/>
          <w:b/>
          <w:sz w:val="21"/>
          <w:szCs w:val="21"/>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1582"/>
        <w:gridCol w:w="6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shd w:val="clear" w:color="auto" w:fill="80C588"/>
            <w:vAlign w:val="top"/>
          </w:tcPr>
          <w:p>
            <w:pPr>
              <w:pStyle w:val="5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功能名称</w:t>
            </w:r>
          </w:p>
        </w:tc>
        <w:tc>
          <w:tcPr>
            <w:tcW w:w="1582" w:type="dxa"/>
            <w:shd w:val="clear" w:color="auto" w:fill="80C588"/>
            <w:vAlign w:val="top"/>
          </w:tcPr>
          <w:p>
            <w:pPr>
              <w:pStyle w:val="5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子功能</w:t>
            </w:r>
          </w:p>
        </w:tc>
        <w:tc>
          <w:tcPr>
            <w:tcW w:w="6162" w:type="dxa"/>
            <w:shd w:val="clear" w:color="auto" w:fill="80C588"/>
            <w:vAlign w:val="top"/>
          </w:tcPr>
          <w:p>
            <w:pPr>
              <w:pStyle w:val="53"/>
              <w:keepNext w:val="0"/>
              <w:keepLines w:val="0"/>
              <w:pageBreakBefore w:val="0"/>
              <w:widowControl w:val="0"/>
              <w:tabs>
                <w:tab w:val="left" w:pos="444"/>
              </w:tabs>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spacing w:line="240" w:lineRule="auto"/>
              <w:jc w:val="center"/>
              <w:rPr>
                <w:rFonts w:hint="eastAsia" w:ascii="宋体" w:hAnsi="宋体" w:eastAsia="宋体" w:cs="宋体"/>
                <w:b/>
                <w:sz w:val="21"/>
                <w:szCs w:val="21"/>
                <w:highlight w:val="none"/>
              </w:rPr>
            </w:pPr>
          </w:p>
          <w:p>
            <w:pPr>
              <w:pStyle w:val="53"/>
              <w:spacing w:line="240" w:lineRule="auto"/>
              <w:ind w:right="2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手术申请预约管理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手术申请</w:t>
            </w:r>
          </w:p>
        </w:tc>
        <w:tc>
          <w:tcPr>
            <w:tcW w:w="6162" w:type="dxa"/>
            <w:vAlign w:val="top"/>
          </w:tcPr>
          <w:p>
            <w:pPr>
              <w:pStyle w:val="53"/>
              <w:spacing w:before="23" w:line="240" w:lineRule="auto"/>
              <w:ind w:left="108"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支持门诊、住院手术申请，进行手术预约的病人基本信</w:t>
            </w:r>
          </w:p>
          <w:p>
            <w:pPr>
              <w:pStyle w:val="53"/>
              <w:spacing w:before="2" w:line="240" w:lineRule="auto"/>
              <w:ind w:left="108" w:right="198"/>
              <w:rPr>
                <w:rFonts w:hint="eastAsia" w:ascii="宋体" w:hAnsi="宋体" w:eastAsia="宋体" w:cs="宋体"/>
                <w:sz w:val="21"/>
                <w:szCs w:val="21"/>
                <w:highlight w:val="none"/>
              </w:rPr>
            </w:pPr>
            <w:r>
              <w:rPr>
                <w:rFonts w:hint="eastAsia" w:ascii="宋体" w:hAnsi="宋体" w:eastAsia="宋体" w:cs="宋体"/>
                <w:sz w:val="21"/>
                <w:szCs w:val="21"/>
                <w:highlight w:val="none"/>
              </w:rPr>
              <w:t>息的登记，办理新手术申请；注明主刀医师、一助姓名、参观人数、手术有无特殊要求，器械准备要求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手术审批</w:t>
            </w:r>
          </w:p>
        </w:tc>
        <w:tc>
          <w:tcPr>
            <w:tcW w:w="6162" w:type="dxa"/>
            <w:vAlign w:val="top"/>
          </w:tcPr>
          <w:p>
            <w:pPr>
              <w:pStyle w:val="53"/>
              <w:spacing w:before="2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手术申请支持内部审核功能。特殊疑难病例手术医务处</w:t>
            </w:r>
          </w:p>
          <w:p>
            <w:pPr>
              <w:pStyle w:val="53"/>
              <w:spacing w:before="43"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审批功能</w:t>
            </w:r>
            <w:r>
              <w:rPr>
                <w:rFonts w:hint="eastAsia" w:cs="宋体"/>
                <w:sz w:val="21"/>
                <w:szCs w:val="21"/>
                <w:highlight w:val="none"/>
                <w:lang w:eastAsia="zh-CN"/>
              </w:rPr>
              <w:t>，</w:t>
            </w:r>
            <w:r>
              <w:rPr>
                <w:rFonts w:hint="eastAsia" w:ascii="宋体" w:hAnsi="宋体" w:eastAsia="宋体" w:cs="宋体"/>
                <w:sz w:val="21"/>
                <w:szCs w:val="21"/>
                <w:highlight w:val="none"/>
              </w:rPr>
              <w:t>填写手术审批文书。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手术安排</w:t>
            </w:r>
          </w:p>
        </w:tc>
        <w:tc>
          <w:tcPr>
            <w:tcW w:w="6162" w:type="dxa"/>
            <w:vAlign w:val="top"/>
          </w:tcPr>
          <w:p>
            <w:pPr>
              <w:pStyle w:val="53"/>
              <w:spacing w:before="23" w:line="240" w:lineRule="auto"/>
              <w:ind w:left="108" w:right="54"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1、安排手术麻醉医师和巡台麻醉医师，巡回护士、器械护士等相关人员，进行手术安排；</w:t>
            </w:r>
          </w:p>
          <w:p>
            <w:pPr>
              <w:pStyle w:val="53"/>
              <w:spacing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2、查看手术安排情况；</w:t>
            </w:r>
          </w:p>
          <w:p>
            <w:pPr>
              <w:pStyle w:val="53"/>
              <w:spacing w:before="4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3、取消申请或已安排的手术；</w:t>
            </w:r>
          </w:p>
          <w:p>
            <w:pPr>
              <w:pStyle w:val="53"/>
              <w:spacing w:before="4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4、打印手术通知单。</w:t>
            </w:r>
          </w:p>
          <w:p>
            <w:pPr>
              <w:pStyle w:val="53"/>
              <w:spacing w:before="4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5、对紧急手术进行快速安排</w:t>
            </w:r>
          </w:p>
          <w:p>
            <w:pPr>
              <w:pStyle w:val="53"/>
              <w:spacing w:before="4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6、麻醉科可单独安排麻醉医师，护士；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spacing w:line="240" w:lineRule="auto"/>
              <w:ind w:right="2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手术管理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会诊管理</w:t>
            </w:r>
          </w:p>
        </w:tc>
        <w:tc>
          <w:tcPr>
            <w:tcW w:w="6162" w:type="dxa"/>
            <w:vAlign w:val="top"/>
          </w:tcPr>
          <w:p>
            <w:pPr>
              <w:pStyle w:val="53"/>
              <w:spacing w:before="2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手术麻醉科可以对手术、非手术病人进行会诊，书写会</w:t>
            </w:r>
          </w:p>
          <w:p>
            <w:pPr>
              <w:pStyle w:val="53"/>
              <w:spacing w:before="43"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费用管理</w:t>
            </w:r>
          </w:p>
        </w:tc>
        <w:tc>
          <w:tcPr>
            <w:tcW w:w="6162" w:type="dxa"/>
            <w:vAlign w:val="top"/>
          </w:tcPr>
          <w:p>
            <w:pPr>
              <w:pStyle w:val="53"/>
              <w:spacing w:before="2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术中事件、用药，能直接关联费用，经确认后直接生成</w:t>
            </w:r>
          </w:p>
          <w:p>
            <w:pPr>
              <w:pStyle w:val="53"/>
              <w:spacing w:before="43"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费用明细</w:t>
            </w:r>
            <w:r>
              <w:rPr>
                <w:rFonts w:hint="eastAsia" w:cs="宋体"/>
                <w:sz w:val="21"/>
                <w:szCs w:val="21"/>
                <w:highlight w:val="none"/>
                <w:lang w:eastAsia="zh-CN"/>
              </w:rPr>
              <w:t>计入</w:t>
            </w:r>
            <w:r>
              <w:rPr>
                <w:rFonts w:hint="eastAsia" w:ascii="宋体" w:hAnsi="宋体" w:eastAsia="宋体" w:cs="宋体"/>
                <w:sz w:val="21"/>
                <w:szCs w:val="21"/>
                <w:highlight w:val="none"/>
              </w:rPr>
              <w:t>病人费用数据。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医嘱管理</w:t>
            </w:r>
          </w:p>
        </w:tc>
        <w:tc>
          <w:tcPr>
            <w:tcW w:w="6162" w:type="dxa"/>
            <w:vAlign w:val="top"/>
          </w:tcPr>
          <w:p>
            <w:pPr>
              <w:pStyle w:val="53"/>
              <w:spacing w:before="94"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对手术病人下达术前、术后等医嘱，开具检查检验。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spacing w:before="1" w:line="240" w:lineRule="auto"/>
              <w:ind w:right="2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术前管理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术前访视</w:t>
            </w:r>
          </w:p>
        </w:tc>
        <w:tc>
          <w:tcPr>
            <w:tcW w:w="6162" w:type="dxa"/>
            <w:vAlign w:val="top"/>
          </w:tcPr>
          <w:p>
            <w:pPr>
              <w:pStyle w:val="53"/>
              <w:spacing w:before="23" w:line="240" w:lineRule="auto"/>
              <w:ind w:left="108" w:right="198"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记录术前参考条件，自动提取最近一次</w:t>
            </w:r>
            <w:r>
              <w:rPr>
                <w:rFonts w:hint="eastAsia" w:cs="宋体"/>
                <w:sz w:val="21"/>
                <w:szCs w:val="21"/>
                <w:highlight w:val="none"/>
                <w:lang w:eastAsia="zh-CN"/>
              </w:rPr>
              <w:t>临检</w:t>
            </w:r>
            <w:r>
              <w:rPr>
                <w:rFonts w:hint="eastAsia" w:ascii="宋体" w:hAnsi="宋体" w:eastAsia="宋体" w:cs="宋体"/>
                <w:sz w:val="21"/>
                <w:szCs w:val="21"/>
                <w:highlight w:val="none"/>
              </w:rPr>
              <w:t>检验结果， 选择麻醉方法，制定麻醉方案，预见术中困难及防范措施，</w:t>
            </w:r>
          </w:p>
          <w:p>
            <w:pPr>
              <w:pStyle w:val="53"/>
              <w:spacing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生成病人术前访视报告单。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术前小结</w:t>
            </w:r>
          </w:p>
        </w:tc>
        <w:tc>
          <w:tcPr>
            <w:tcW w:w="6162" w:type="dxa"/>
            <w:vAlign w:val="top"/>
          </w:tcPr>
          <w:p>
            <w:pPr>
              <w:pStyle w:val="53"/>
              <w:spacing w:before="94"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记录术前小结，会诊记录。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center"/>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器械申领</w:t>
            </w:r>
          </w:p>
        </w:tc>
        <w:tc>
          <w:tcPr>
            <w:tcW w:w="6162" w:type="dxa"/>
            <w:vAlign w:val="top"/>
          </w:tcPr>
          <w:p>
            <w:pPr>
              <w:pStyle w:val="53"/>
              <w:spacing w:before="2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直接向供应室发送器械准备申请；术前器械准备功能；</w:t>
            </w:r>
          </w:p>
          <w:p>
            <w:pPr>
              <w:pStyle w:val="53"/>
              <w:spacing w:before="43"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支持术中加数功能。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center"/>
          </w:tcPr>
          <w:p>
            <w:pPr>
              <w:pStyle w:val="53"/>
              <w:spacing w:line="240" w:lineRule="auto"/>
              <w:ind w:right="2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术中管理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体征监测</w:t>
            </w:r>
          </w:p>
        </w:tc>
        <w:tc>
          <w:tcPr>
            <w:tcW w:w="6162" w:type="dxa"/>
            <w:vAlign w:val="top"/>
          </w:tcPr>
          <w:p>
            <w:pPr>
              <w:pStyle w:val="53"/>
              <w:spacing w:before="23" w:line="240" w:lineRule="auto"/>
              <w:ind w:left="528"/>
              <w:rPr>
                <w:rFonts w:hint="eastAsia" w:ascii="宋体" w:hAnsi="宋体" w:eastAsia="宋体" w:cs="宋体"/>
                <w:sz w:val="21"/>
                <w:szCs w:val="21"/>
                <w:highlight w:val="none"/>
              </w:rPr>
            </w:pPr>
            <w:r>
              <w:rPr>
                <w:rFonts w:hint="eastAsia" w:ascii="宋体" w:hAnsi="宋体" w:eastAsia="宋体" w:cs="宋体"/>
                <w:sz w:val="21"/>
                <w:szCs w:val="21"/>
                <w:highlight w:val="none"/>
              </w:rPr>
              <w:t>统一界面配置并显示工作站所采集的监护仪、麻醉机、</w:t>
            </w:r>
          </w:p>
          <w:p>
            <w:pPr>
              <w:pStyle w:val="53"/>
              <w:spacing w:before="43"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注射泵等采集项目及数据。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麻醉监测平台</w:t>
            </w:r>
          </w:p>
        </w:tc>
        <w:tc>
          <w:tcPr>
            <w:tcW w:w="6162" w:type="dxa"/>
            <w:vAlign w:val="top"/>
          </w:tcPr>
          <w:p>
            <w:pPr>
              <w:pStyle w:val="53"/>
              <w:spacing w:before="23" w:line="240" w:lineRule="auto"/>
              <w:ind w:left="108" w:right="198"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依据医院麻醉记录单所需记录的内容，自动采集监护仪器的数据进行记录描记生成麻醉记录单，并提供药品、出入</w:t>
            </w:r>
          </w:p>
          <w:p>
            <w:pPr>
              <w:pStyle w:val="53"/>
              <w:spacing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量、手术麻醉事件、手术人员的快捷录入。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jc w:val="center"/>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术中麻醉</w:t>
            </w:r>
          </w:p>
        </w:tc>
        <w:tc>
          <w:tcPr>
            <w:tcW w:w="6162" w:type="dxa"/>
            <w:vAlign w:val="top"/>
          </w:tcPr>
          <w:p>
            <w:pPr>
              <w:pStyle w:val="53"/>
              <w:spacing w:before="23" w:line="240" w:lineRule="auto"/>
              <w:ind w:left="108"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包括麻醉记录、麻药、体征趋势、药物等功能。记录麻</w:t>
            </w:r>
          </w:p>
          <w:p>
            <w:pPr>
              <w:pStyle w:val="53"/>
              <w:spacing w:before="2" w:line="240" w:lineRule="auto"/>
              <w:ind w:left="108" w:right="198"/>
              <w:rPr>
                <w:rFonts w:hint="eastAsia" w:ascii="宋体" w:hAnsi="宋体" w:eastAsia="宋体" w:cs="宋体"/>
                <w:sz w:val="21"/>
                <w:szCs w:val="21"/>
                <w:highlight w:val="none"/>
              </w:rPr>
            </w:pPr>
            <w:r>
              <w:rPr>
                <w:rFonts w:hint="eastAsia" w:ascii="宋体" w:hAnsi="宋体" w:eastAsia="宋体" w:cs="宋体"/>
                <w:sz w:val="21"/>
                <w:szCs w:val="21"/>
                <w:highlight w:val="none"/>
              </w:rPr>
              <w:t>醉手术期间所有相关操作和麻醉数据。同步显示麻醉记录单等医疗文书。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麻醉模板</w:t>
            </w:r>
          </w:p>
        </w:tc>
        <w:tc>
          <w:tcPr>
            <w:tcW w:w="6162" w:type="dxa"/>
            <w:vAlign w:val="center"/>
          </w:tcPr>
          <w:p>
            <w:pPr>
              <w:pStyle w:val="53"/>
              <w:spacing w:before="23" w:line="240" w:lineRule="auto"/>
              <w:ind w:left="108" w:firstLine="4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可按麻醉方法制作麻醉模板，再次碰到同类手术时，直接应用模板，快速完成麻醉记录单。保存的模板可编辑，并分级别保存。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体外循环</w:t>
            </w:r>
          </w:p>
        </w:tc>
        <w:tc>
          <w:tcPr>
            <w:tcW w:w="6162" w:type="dxa"/>
            <w:vAlign w:val="center"/>
          </w:tcPr>
          <w:p>
            <w:pPr>
              <w:pStyle w:val="53"/>
              <w:spacing w:before="23" w:line="240" w:lineRule="auto"/>
              <w:ind w:left="108" w:firstLine="4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特殊标识出体外循环期间，手术病人的生命体征情况及</w:t>
            </w:r>
          </w:p>
          <w:p>
            <w:pPr>
              <w:pStyle w:val="53"/>
              <w:spacing w:before="2" w:line="240" w:lineRule="auto"/>
              <w:ind w:left="108" w:right="19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医师的用药记录。完整记录体外循环过程中手术麻醉情况， 形成体外循环记录单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诱导室记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支持进行诱导用药记录、诱导期间事件记录、诱导室体</w:t>
            </w:r>
          </w:p>
          <w:p>
            <w:pPr>
              <w:pStyle w:val="53"/>
              <w:spacing w:before="43" w:line="240" w:lineRule="auto"/>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征记录。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麻醉评分</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 xml:space="preserve">支持 </w:t>
            </w:r>
            <w:r>
              <w:rPr>
                <w:rFonts w:hint="eastAsia" w:ascii="宋体" w:hAnsi="宋体" w:eastAsia="宋体" w:cs="宋体"/>
                <w:sz w:val="21"/>
                <w:szCs w:val="21"/>
                <w:highlight w:val="none"/>
              </w:rPr>
              <w:t>APACHE</w:t>
            </w:r>
            <w:r>
              <w:rPr>
                <w:rFonts w:hint="eastAsia" w:ascii="宋体" w:hAnsi="宋体" w:eastAsia="宋体" w:cs="宋体"/>
                <w:spacing w:val="-21"/>
                <w:sz w:val="21"/>
                <w:szCs w:val="21"/>
                <w:highlight w:val="none"/>
              </w:rPr>
              <w:t xml:space="preserve"> 评分、</w:t>
            </w:r>
            <w:r>
              <w:rPr>
                <w:rFonts w:hint="eastAsia" w:ascii="宋体" w:hAnsi="宋体" w:eastAsia="宋体" w:cs="宋体"/>
                <w:sz w:val="21"/>
                <w:szCs w:val="21"/>
                <w:highlight w:val="none"/>
              </w:rPr>
              <w:t>TISS</w:t>
            </w:r>
            <w:r>
              <w:rPr>
                <w:rFonts w:hint="eastAsia" w:ascii="宋体" w:hAnsi="宋体" w:eastAsia="宋体" w:cs="宋体"/>
                <w:spacing w:val="-10"/>
                <w:sz w:val="21"/>
                <w:szCs w:val="21"/>
                <w:highlight w:val="none"/>
              </w:rPr>
              <w:t xml:space="preserve"> 评分等多种评分方法。通过趋势</w:t>
            </w:r>
          </w:p>
          <w:p>
            <w:pPr>
              <w:pStyle w:val="53"/>
              <w:spacing w:before="43" w:line="240" w:lineRule="auto"/>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变化对病情和治疗效果进行跟踪。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top"/>
          </w:tcPr>
          <w:p>
            <w:pPr>
              <w:pStyle w:val="53"/>
              <w:spacing w:line="240" w:lineRule="auto"/>
              <w:rPr>
                <w:rFonts w:hint="eastAsia" w:ascii="宋体" w:hAnsi="宋体" w:eastAsia="宋体" w:cs="宋体"/>
                <w:b/>
                <w:sz w:val="21"/>
                <w:szCs w:val="21"/>
                <w:highlight w:val="none"/>
              </w:rPr>
            </w:pPr>
          </w:p>
          <w:p>
            <w:pPr>
              <w:pStyle w:val="53"/>
              <w:spacing w:before="6" w:line="240" w:lineRule="auto"/>
              <w:rPr>
                <w:rFonts w:hint="eastAsia" w:ascii="宋体" w:hAnsi="宋体" w:eastAsia="宋体" w:cs="宋体"/>
                <w:b/>
                <w:sz w:val="21"/>
                <w:szCs w:val="21"/>
                <w:highlight w:val="none"/>
              </w:rPr>
            </w:pPr>
          </w:p>
          <w:p>
            <w:pPr>
              <w:pStyle w:val="53"/>
              <w:spacing w:line="240" w:lineRule="auto"/>
              <w:ind w:left="107" w:right="285"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术后管理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复苏室记</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 xml:space="preserve">手术后对 </w:t>
            </w:r>
            <w:r>
              <w:rPr>
                <w:rFonts w:hint="eastAsia" w:ascii="宋体" w:hAnsi="宋体" w:eastAsia="宋体" w:cs="宋体"/>
                <w:sz w:val="21"/>
                <w:szCs w:val="21"/>
                <w:highlight w:val="none"/>
              </w:rPr>
              <w:t>PACU</w:t>
            </w:r>
            <w:r>
              <w:rPr>
                <w:rFonts w:hint="eastAsia" w:ascii="宋体" w:hAnsi="宋体" w:eastAsia="宋体" w:cs="宋体"/>
                <w:spacing w:val="-8"/>
                <w:sz w:val="21"/>
                <w:szCs w:val="21"/>
                <w:highlight w:val="none"/>
              </w:rPr>
              <w:t xml:space="preserve"> 中的病人继续采集数据，延续麻醉记录单</w:t>
            </w:r>
          </w:p>
          <w:p>
            <w:pPr>
              <w:pStyle w:val="53"/>
              <w:spacing w:before="43" w:line="240" w:lineRule="auto"/>
              <w:ind w:left="108"/>
              <w:jc w:val="both"/>
              <w:rPr>
                <w:rFonts w:hint="eastAsia" w:ascii="宋体" w:hAnsi="宋体" w:eastAsia="宋体" w:cs="宋体"/>
                <w:sz w:val="21"/>
                <w:szCs w:val="21"/>
                <w:highlight w:val="none"/>
              </w:rPr>
            </w:pPr>
            <w:r>
              <w:rPr>
                <w:rFonts w:hint="eastAsia" w:cs="宋体"/>
                <w:sz w:val="21"/>
                <w:szCs w:val="21"/>
                <w:highlight w:val="none"/>
                <w:lang w:eastAsia="zh-CN"/>
              </w:rPr>
              <w:t>得</w:t>
            </w:r>
            <w:r>
              <w:rPr>
                <w:rFonts w:hint="eastAsia" w:ascii="宋体" w:hAnsi="宋体" w:eastAsia="宋体" w:cs="宋体"/>
                <w:sz w:val="21"/>
                <w:szCs w:val="21"/>
                <w:highlight w:val="none"/>
              </w:rPr>
              <w:t>病人麻醉病例的记录。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术后镇痛</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支持临床术后镇痛应用，包括镇痛用药、镇痛泵、镇痛方式的全面记录。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术后麻醉</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登记模块</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支持提交后的麻醉病案登记</w:t>
            </w:r>
            <w:r>
              <w:rPr>
                <w:rFonts w:hint="eastAsia" w:cs="宋体"/>
                <w:sz w:val="21"/>
                <w:szCs w:val="21"/>
                <w:highlight w:val="none"/>
                <w:lang w:eastAsia="zh-CN"/>
              </w:rPr>
              <w:t>，并且</w:t>
            </w:r>
            <w:r>
              <w:rPr>
                <w:rFonts w:hint="eastAsia" w:ascii="宋体" w:hAnsi="宋体" w:eastAsia="宋体" w:cs="宋体"/>
                <w:sz w:val="21"/>
                <w:szCs w:val="21"/>
                <w:highlight w:val="none"/>
              </w:rPr>
              <w:t>打印输出。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术后随访</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支持术后随访的</w:t>
            </w:r>
            <w:r>
              <w:rPr>
                <w:rFonts w:hint="eastAsia" w:cs="宋体"/>
                <w:sz w:val="21"/>
                <w:szCs w:val="21"/>
                <w:highlight w:val="none"/>
                <w:lang w:eastAsia="zh-CN"/>
              </w:rPr>
              <w:t>记录</w:t>
            </w:r>
            <w:r>
              <w:rPr>
                <w:rFonts w:hint="eastAsia" w:ascii="宋体" w:hAnsi="宋体" w:eastAsia="宋体" w:cs="宋体"/>
                <w:sz w:val="21"/>
                <w:szCs w:val="21"/>
                <w:highlight w:val="none"/>
              </w:rPr>
              <w:t>，生成术后访视</w:t>
            </w:r>
            <w:r>
              <w:rPr>
                <w:rFonts w:hint="eastAsia" w:cs="宋体"/>
                <w:sz w:val="21"/>
                <w:szCs w:val="21"/>
                <w:highlight w:val="none"/>
                <w:lang w:eastAsia="zh-CN"/>
              </w:rPr>
              <w:t>记录</w:t>
            </w:r>
            <w:r>
              <w:rPr>
                <w:rFonts w:hint="eastAsia" w:ascii="宋体" w:hAnsi="宋体" w:eastAsia="宋体" w:cs="宋体"/>
                <w:sz w:val="21"/>
                <w:szCs w:val="21"/>
                <w:highlight w:val="none"/>
              </w:rPr>
              <w:t>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restart"/>
            <w:vAlign w:val="top"/>
          </w:tcPr>
          <w:p>
            <w:pPr>
              <w:pStyle w:val="53"/>
              <w:spacing w:line="240" w:lineRule="auto"/>
              <w:rPr>
                <w:rFonts w:hint="eastAsia" w:ascii="宋体" w:hAnsi="宋体" w:eastAsia="宋体" w:cs="宋体"/>
                <w:b/>
                <w:sz w:val="21"/>
                <w:szCs w:val="21"/>
                <w:highlight w:val="none"/>
              </w:rPr>
            </w:pPr>
          </w:p>
          <w:p>
            <w:pPr>
              <w:pStyle w:val="53"/>
              <w:spacing w:before="6" w:line="240" w:lineRule="auto"/>
              <w:rPr>
                <w:rFonts w:hint="eastAsia" w:ascii="宋体" w:hAnsi="宋体" w:eastAsia="宋体" w:cs="宋体"/>
                <w:b/>
                <w:sz w:val="21"/>
                <w:szCs w:val="21"/>
                <w:highlight w:val="none"/>
              </w:rPr>
            </w:pPr>
          </w:p>
          <w:p>
            <w:pPr>
              <w:pStyle w:val="53"/>
              <w:spacing w:line="240" w:lineRule="auto"/>
              <w:ind w:left="107" w:right="285"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手术护理管理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护理电子</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病历</w:t>
            </w:r>
          </w:p>
        </w:tc>
        <w:tc>
          <w:tcPr>
            <w:tcW w:w="6162" w:type="dxa"/>
            <w:vAlign w:val="center"/>
          </w:tcPr>
          <w:p>
            <w:pPr>
              <w:pStyle w:val="53"/>
              <w:spacing w:before="179"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记录护理电子病历的文书及文书完成状态。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医嘱执行</w:t>
            </w:r>
          </w:p>
        </w:tc>
        <w:tc>
          <w:tcPr>
            <w:tcW w:w="6162" w:type="dxa"/>
            <w:vAlign w:val="center"/>
          </w:tcPr>
          <w:p>
            <w:pPr>
              <w:pStyle w:val="53"/>
              <w:spacing w:before="94"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执行手术室医嘱；收取手术费用。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手术护理</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情况记录</w:t>
            </w:r>
          </w:p>
        </w:tc>
        <w:tc>
          <w:tcPr>
            <w:tcW w:w="6162" w:type="dxa"/>
            <w:vAlign w:val="center"/>
          </w:tcPr>
          <w:p>
            <w:pPr>
              <w:pStyle w:val="53"/>
              <w:spacing w:before="179"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记录手术术前、术中、术后的护理情况。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Merge w:val="continue"/>
            <w:tcBorders>
              <w:top w:val="nil"/>
            </w:tcBorders>
            <w:vAlign w:val="top"/>
          </w:tcPr>
          <w:p>
            <w:pPr>
              <w:spacing w:line="240" w:lineRule="auto"/>
              <w:rPr>
                <w:rFonts w:hint="eastAsia" w:ascii="宋体" w:hAnsi="宋体" w:eastAsia="宋体" w:cs="宋体"/>
                <w:sz w:val="21"/>
                <w:szCs w:val="21"/>
                <w:highlight w:val="none"/>
              </w:rPr>
            </w:pP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器械清点</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记录术前清点、术中增加器械、关前清点、关后清点等</w:t>
            </w:r>
          </w:p>
          <w:p>
            <w:pPr>
              <w:pStyle w:val="53"/>
              <w:spacing w:before="43" w:line="240" w:lineRule="auto"/>
              <w:ind w:left="10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信息，并提供标签录入界面。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spacing w:before="23" w:line="240" w:lineRule="auto"/>
              <w:ind w:left="527"/>
              <w:rPr>
                <w:rFonts w:hint="eastAsia" w:ascii="宋体" w:hAnsi="宋体" w:eastAsia="宋体" w:cs="宋体"/>
                <w:sz w:val="21"/>
                <w:szCs w:val="21"/>
                <w:highlight w:val="none"/>
              </w:rPr>
            </w:pPr>
            <w:r>
              <w:rPr>
                <w:rFonts w:hint="eastAsia" w:ascii="宋体" w:hAnsi="宋体" w:eastAsia="宋体" w:cs="宋体"/>
                <w:sz w:val="21"/>
                <w:szCs w:val="21"/>
                <w:highlight w:val="none"/>
              </w:rPr>
              <w:t>排班</w:t>
            </w:r>
          </w:p>
          <w:p>
            <w:pPr>
              <w:pStyle w:val="53"/>
              <w:spacing w:before="43"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排班管理</w:t>
            </w:r>
          </w:p>
        </w:tc>
        <w:tc>
          <w:tcPr>
            <w:tcW w:w="6162" w:type="dxa"/>
            <w:vAlign w:val="center"/>
          </w:tcPr>
          <w:p>
            <w:pPr>
              <w:pStyle w:val="53"/>
              <w:spacing w:before="179"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按周或月进行医生、护士排班；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27" w:type="dxa"/>
            <w:vAlign w:val="top"/>
          </w:tcPr>
          <w:p>
            <w:pPr>
              <w:pStyle w:val="53"/>
              <w:spacing w:before="13" w:line="240" w:lineRule="auto"/>
              <w:rPr>
                <w:rFonts w:hint="eastAsia" w:ascii="宋体" w:hAnsi="宋体" w:eastAsia="宋体" w:cs="宋体"/>
                <w:b/>
                <w:sz w:val="21"/>
                <w:szCs w:val="21"/>
                <w:highlight w:val="none"/>
              </w:rPr>
            </w:pPr>
          </w:p>
          <w:p>
            <w:pPr>
              <w:pStyle w:val="53"/>
              <w:spacing w:line="240" w:lineRule="auto"/>
              <w:ind w:left="107" w:right="285"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外部大屏</w:t>
            </w:r>
          </w:p>
        </w:tc>
        <w:tc>
          <w:tcPr>
            <w:tcW w:w="15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sz w:val="21"/>
                <w:szCs w:val="21"/>
                <w:highlight w:val="none"/>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家属区大</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屏</w:t>
            </w:r>
          </w:p>
        </w:tc>
        <w:tc>
          <w:tcPr>
            <w:tcW w:w="6162" w:type="dxa"/>
            <w:vAlign w:val="center"/>
          </w:tcPr>
          <w:p>
            <w:pPr>
              <w:pStyle w:val="53"/>
              <w:spacing w:before="2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1、自动显示当天手术病人信息；</w:t>
            </w:r>
          </w:p>
          <w:p>
            <w:pPr>
              <w:pStyle w:val="53"/>
              <w:spacing w:before="4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2、个性化定义显示内容；</w:t>
            </w:r>
          </w:p>
          <w:p>
            <w:pPr>
              <w:pStyle w:val="53"/>
              <w:spacing w:before="4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3、智能显示病人手术进程状态；</w:t>
            </w:r>
          </w:p>
          <w:p>
            <w:pPr>
              <w:pStyle w:val="53"/>
              <w:spacing w:before="4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4、支持视频宣教的放映；</w:t>
            </w:r>
          </w:p>
          <w:p>
            <w:pPr>
              <w:pStyle w:val="53"/>
              <w:spacing w:before="43" w:line="240" w:lineRule="auto"/>
              <w:ind w:left="5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5、支持通告的发布。</w:t>
            </w:r>
          </w:p>
        </w:tc>
      </w:tr>
    </w:tbl>
    <w:p>
      <w:pPr>
        <w:pStyle w:val="5"/>
        <w:numPr>
          <w:ilvl w:val="0"/>
          <w:numId w:val="0"/>
        </w:numPr>
        <w:bidi w:val="0"/>
        <w:rPr>
          <w:rFonts w:hint="eastAsia"/>
          <w:sz w:val="21"/>
          <w:szCs w:val="21"/>
          <w:highlight w:val="none"/>
        </w:rPr>
      </w:pPr>
      <w:r>
        <w:rPr>
          <w:rFonts w:hint="eastAsia"/>
          <w:sz w:val="21"/>
          <w:szCs w:val="21"/>
          <w:highlight w:val="none"/>
          <w:lang w:val="en-US" w:eastAsia="zh-CN"/>
        </w:rPr>
        <w:t>2.30、</w:t>
      </w:r>
      <w:r>
        <w:rPr>
          <w:rFonts w:hint="eastAsia"/>
          <w:sz w:val="21"/>
          <w:szCs w:val="21"/>
          <w:highlight w:val="none"/>
        </w:rPr>
        <w:t>总务物资管理系统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系统是以医院总务物资库物品进销存为核心的管理系统，主要涉及物资信息管理、采购入库、增损调价、盘存核算、发票管理以及条码管理等功能。本系统优化后勤物资管理流程，对医院物资从采购到出入库再到财务核算等流程全方位监控，使得每一个环节得到跟踪从而有据可查，让物资物品得到有效的管理。</w:t>
      </w:r>
    </w:p>
    <w:p>
      <w:pPr>
        <w:pStyle w:val="5"/>
        <w:numPr>
          <w:ilvl w:val="0"/>
          <w:numId w:val="0"/>
        </w:numPr>
        <w:bidi w:val="0"/>
        <w:rPr>
          <w:rFonts w:hint="eastAsia"/>
          <w:sz w:val="21"/>
          <w:szCs w:val="21"/>
          <w:highlight w:val="none"/>
        </w:rPr>
      </w:pPr>
      <w:r>
        <w:rPr>
          <w:rFonts w:hint="eastAsia"/>
          <w:sz w:val="21"/>
          <w:szCs w:val="21"/>
          <w:highlight w:val="none"/>
          <w:lang w:val="en-US" w:eastAsia="zh-CN"/>
        </w:rPr>
        <w:t>2.31、</w:t>
      </w:r>
      <w:r>
        <w:rPr>
          <w:rFonts w:hint="eastAsia"/>
          <w:sz w:val="21"/>
          <w:szCs w:val="21"/>
          <w:highlight w:val="none"/>
        </w:rPr>
        <w:t>医院感染管理系统（基础版）</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医院感染病例监测、外科手术监测、多重耐药检测、抗菌药物监测、环境卫生学监测、职业暴露针刺伤、医院感染智能预警、现患率调查。</w:t>
      </w:r>
    </w:p>
    <w:p>
      <w:pPr>
        <w:pStyle w:val="5"/>
        <w:numPr>
          <w:ilvl w:val="0"/>
          <w:numId w:val="0"/>
        </w:numPr>
        <w:bidi w:val="0"/>
        <w:rPr>
          <w:rFonts w:hint="eastAsia"/>
          <w:sz w:val="21"/>
          <w:szCs w:val="21"/>
          <w:highlight w:val="none"/>
        </w:rPr>
      </w:pPr>
      <w:r>
        <w:rPr>
          <w:rFonts w:hint="eastAsia"/>
          <w:sz w:val="21"/>
          <w:szCs w:val="21"/>
          <w:highlight w:val="none"/>
          <w:lang w:val="en-US" w:eastAsia="zh-CN"/>
        </w:rPr>
        <w:t>2.32、</w:t>
      </w:r>
      <w:r>
        <w:rPr>
          <w:rFonts w:hint="eastAsia"/>
          <w:sz w:val="21"/>
          <w:szCs w:val="21"/>
          <w:highlight w:val="none"/>
        </w:rPr>
        <w:t>设备管理系统（基础版）</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设备相关基础字典数据维护、采购计划、库存档案管理、采购票据管理、设备出入库管理、科室领用、设备盘点、折旧及报损管理、计量设备检验、维修登记及相关查询统计等。</w:t>
      </w:r>
    </w:p>
    <w:p>
      <w:pPr>
        <w:pStyle w:val="5"/>
        <w:numPr>
          <w:ilvl w:val="0"/>
          <w:numId w:val="0"/>
        </w:numPr>
        <w:bidi w:val="0"/>
        <w:rPr>
          <w:rFonts w:hint="eastAsia"/>
          <w:sz w:val="21"/>
          <w:szCs w:val="21"/>
          <w:highlight w:val="none"/>
        </w:rPr>
      </w:pPr>
      <w:r>
        <w:rPr>
          <w:rFonts w:hint="eastAsia"/>
          <w:sz w:val="21"/>
          <w:szCs w:val="21"/>
          <w:highlight w:val="none"/>
          <w:lang w:val="en-US" w:eastAsia="zh-CN"/>
        </w:rPr>
        <w:t>2.33、</w:t>
      </w:r>
      <w:r>
        <w:rPr>
          <w:rFonts w:hint="eastAsia"/>
          <w:sz w:val="21"/>
          <w:szCs w:val="21"/>
          <w:highlight w:val="none"/>
        </w:rPr>
        <w:t>医院办公管理系统（HOA 基础版）</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医院内部网上办公：医院信息，公文发布、回复，电子邮件管理，信息查阅。</w:t>
      </w:r>
    </w:p>
    <w:p>
      <w:pPr>
        <w:pStyle w:val="10"/>
        <w:spacing w:before="2"/>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2.34、</w:t>
      </w:r>
      <w:r>
        <w:rPr>
          <w:rFonts w:hint="eastAsia"/>
          <w:sz w:val="21"/>
          <w:szCs w:val="21"/>
          <w:highlight w:val="none"/>
        </w:rPr>
        <w:t>抗菌药物应用监控系统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cs="宋体"/>
          <w:sz w:val="21"/>
          <w:szCs w:val="21"/>
          <w:highlight w:val="none"/>
          <w:lang w:eastAsia="zh-CN"/>
        </w:rPr>
        <w:t>国家卫健委</w:t>
      </w:r>
      <w:r>
        <w:rPr>
          <w:rFonts w:hint="eastAsia" w:ascii="宋体" w:hAnsi="宋体" w:eastAsia="宋体" w:cs="宋体"/>
          <w:sz w:val="21"/>
          <w:szCs w:val="21"/>
          <w:highlight w:val="none"/>
        </w:rPr>
        <w:t>的规定，对处方、医嘱</w:t>
      </w:r>
      <w:r>
        <w:rPr>
          <w:rFonts w:hint="eastAsia" w:ascii="宋体" w:hAnsi="宋体" w:cs="宋体"/>
          <w:sz w:val="21"/>
          <w:szCs w:val="21"/>
          <w:highlight w:val="none"/>
          <w:lang w:eastAsia="zh-CN"/>
        </w:rPr>
        <w:t>抗生素</w:t>
      </w:r>
      <w:r>
        <w:rPr>
          <w:rFonts w:hint="eastAsia" w:ascii="宋体" w:hAnsi="宋体" w:eastAsia="宋体" w:cs="宋体"/>
          <w:sz w:val="21"/>
          <w:szCs w:val="21"/>
          <w:highlight w:val="none"/>
        </w:rPr>
        <w:t>的使用进行实时动态监测，实时动态记录，查询、统计、分析、报表，包含事前监控和事后分析。</w:t>
      </w:r>
    </w:p>
    <w:p>
      <w:pPr>
        <w:pStyle w:val="10"/>
        <w:spacing w:before="11"/>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2.35、</w:t>
      </w:r>
      <w:r>
        <w:rPr>
          <w:rFonts w:hint="eastAsia"/>
          <w:sz w:val="21"/>
          <w:szCs w:val="21"/>
          <w:highlight w:val="none"/>
        </w:rPr>
        <w:t>处方及医嘱点评系统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cs="宋体"/>
          <w:sz w:val="21"/>
          <w:szCs w:val="21"/>
          <w:highlight w:val="none"/>
          <w:lang w:eastAsia="zh-CN"/>
        </w:rPr>
        <w:t>国家卫健委</w:t>
      </w:r>
      <w:r>
        <w:rPr>
          <w:rFonts w:hint="eastAsia" w:ascii="宋体" w:hAnsi="宋体" w:eastAsia="宋体" w:cs="宋体"/>
          <w:sz w:val="21"/>
          <w:szCs w:val="21"/>
          <w:highlight w:val="none"/>
        </w:rPr>
        <w:t>的规定，对处方、医嘱进行动态审查、评价，事后点评，查询、统计、分析、报表。普通点评及专项点评、点评结果申述及沟通。</w:t>
      </w:r>
    </w:p>
    <w:p>
      <w:pPr>
        <w:pStyle w:val="10"/>
        <w:spacing w:before="10"/>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2.36、</w:t>
      </w:r>
      <w:r>
        <w:rPr>
          <w:rFonts w:hint="eastAsia"/>
          <w:sz w:val="21"/>
          <w:szCs w:val="21"/>
          <w:highlight w:val="none"/>
        </w:rPr>
        <w:t>危急值管理系统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提供危急报告、危急阅读、查询统计等功能</w:t>
      </w:r>
    </w:p>
    <w:p>
      <w:pPr>
        <w:bidi w:val="0"/>
        <w:rPr>
          <w:rFonts w:hint="eastAsia"/>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2.37、</w:t>
      </w:r>
      <w:r>
        <w:rPr>
          <w:rFonts w:hint="eastAsia"/>
          <w:sz w:val="21"/>
          <w:szCs w:val="21"/>
          <w:highlight w:val="none"/>
        </w:rPr>
        <w:t>急诊医生工作站（含急诊医生电子病历）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完成急诊处方、医嘱、申请单等下达，</w:t>
      </w:r>
      <w:r>
        <w:rPr>
          <w:rFonts w:hint="eastAsia" w:ascii="宋体" w:hAnsi="宋体" w:cs="宋体"/>
          <w:sz w:val="21"/>
          <w:szCs w:val="21"/>
          <w:highlight w:val="none"/>
          <w:lang w:eastAsia="zh-CN"/>
        </w:rPr>
        <w:t>完成</w:t>
      </w:r>
      <w:r>
        <w:rPr>
          <w:rFonts w:hint="eastAsia" w:ascii="宋体" w:hAnsi="宋体" w:eastAsia="宋体" w:cs="宋体"/>
          <w:sz w:val="21"/>
          <w:szCs w:val="21"/>
          <w:highlight w:val="none"/>
        </w:rPr>
        <w:t>门诊病历书写，完成急诊留观有关医嘱下达和病历书写。</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2.38、</w:t>
      </w:r>
      <w:r>
        <w:rPr>
          <w:rFonts w:hint="eastAsia"/>
          <w:sz w:val="21"/>
          <w:szCs w:val="21"/>
          <w:highlight w:val="none"/>
        </w:rPr>
        <w:t>急诊护士工作站（含急诊护理电子病历）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完成急诊皮试、急诊医嘱执行，完成急诊留观有关护理病历书写。</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2.39、</w:t>
      </w:r>
      <w:r>
        <w:rPr>
          <w:rFonts w:hint="eastAsia"/>
          <w:sz w:val="21"/>
          <w:szCs w:val="21"/>
          <w:highlight w:val="none"/>
        </w:rPr>
        <w:t>腕带识别安全保障系统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病人条码或 RFID 腕带识别，检查、检验、输液、输血条码，病人条码腕带生成、打印、现场审核，差错报警。</w:t>
      </w:r>
    </w:p>
    <w:p>
      <w:pPr>
        <w:pStyle w:val="10"/>
        <w:spacing w:before="10"/>
        <w:rPr>
          <w:rFonts w:hint="eastAsia" w:ascii="宋体" w:hAnsi="宋体" w:eastAsia="宋体" w:cs="宋体"/>
          <w:sz w:val="21"/>
          <w:szCs w:val="21"/>
          <w:highlight w:val="none"/>
        </w:rPr>
      </w:pPr>
    </w:p>
    <w:p>
      <w:pPr>
        <w:pStyle w:val="5"/>
        <w:numPr>
          <w:ilvl w:val="0"/>
          <w:numId w:val="0"/>
        </w:numPr>
        <w:bidi w:val="0"/>
        <w:rPr>
          <w:rFonts w:hint="eastAsia"/>
          <w:sz w:val="21"/>
          <w:szCs w:val="21"/>
          <w:highlight w:val="none"/>
        </w:rPr>
      </w:pPr>
      <w:r>
        <w:rPr>
          <w:rFonts w:hint="eastAsia"/>
          <w:sz w:val="21"/>
          <w:szCs w:val="21"/>
          <w:highlight w:val="none"/>
          <w:lang w:val="en-US" w:eastAsia="zh-CN"/>
        </w:rPr>
        <w:t>2.40、</w:t>
      </w:r>
      <w:r>
        <w:rPr>
          <w:rFonts w:hint="eastAsia"/>
          <w:sz w:val="21"/>
          <w:szCs w:val="21"/>
          <w:highlight w:val="none"/>
        </w:rPr>
        <w:t>移动住院医生工作站</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无线网络建立，通过无线网络移动查房，临床信息现场即时调用、查询，检查（影像）检验信息的查询、共享，现场书写电子病历，现场下达电子医嘱，检查、医嘱现场即时处理。</w:t>
      </w:r>
    </w:p>
    <w:p>
      <w:pPr>
        <w:pStyle w:val="10"/>
        <w:spacing w:before="11"/>
        <w:rPr>
          <w:rFonts w:hint="eastAsia" w:ascii="宋体" w:hAnsi="宋体" w:eastAsia="宋体" w:cs="宋体"/>
          <w:sz w:val="21"/>
          <w:szCs w:val="21"/>
          <w:highlight w:val="none"/>
        </w:rPr>
      </w:pPr>
    </w:p>
    <w:p>
      <w:pPr>
        <w:pStyle w:val="5"/>
        <w:bidi w:val="0"/>
        <w:rPr>
          <w:rFonts w:hint="eastAsia"/>
          <w:sz w:val="21"/>
          <w:szCs w:val="21"/>
          <w:highlight w:val="none"/>
        </w:rPr>
      </w:pPr>
      <w:r>
        <w:rPr>
          <w:rFonts w:hint="eastAsia"/>
          <w:sz w:val="21"/>
          <w:szCs w:val="21"/>
          <w:highlight w:val="none"/>
          <w:lang w:val="en-US" w:eastAsia="zh-CN"/>
        </w:rPr>
        <w:t>2.41、</w:t>
      </w:r>
      <w:r>
        <w:rPr>
          <w:rFonts w:hint="eastAsia"/>
          <w:sz w:val="21"/>
          <w:szCs w:val="21"/>
          <w:highlight w:val="none"/>
        </w:rPr>
        <w:t>移动护士工作站</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无线网络建立，通过无线网络移动护理，临床信息现场即时调用、查询，现场审核、执行医嘱，录入三测数据。</w:t>
      </w:r>
    </w:p>
    <w:p>
      <w:pPr>
        <w:pStyle w:val="5"/>
        <w:bidi w:val="0"/>
        <w:rPr>
          <w:rFonts w:hint="eastAsia"/>
          <w:sz w:val="21"/>
          <w:szCs w:val="21"/>
          <w:highlight w:val="none"/>
        </w:rPr>
      </w:pPr>
      <w:r>
        <w:rPr>
          <w:rFonts w:hint="eastAsia"/>
          <w:sz w:val="21"/>
          <w:szCs w:val="21"/>
          <w:highlight w:val="none"/>
          <w:lang w:val="en-US" w:eastAsia="zh-CN"/>
        </w:rPr>
        <w:t>2.42、</w:t>
      </w:r>
      <w:r>
        <w:rPr>
          <w:rFonts w:hint="eastAsia"/>
          <w:sz w:val="21"/>
          <w:szCs w:val="21"/>
          <w:highlight w:val="none"/>
        </w:rPr>
        <w:t>智慧护理大屏</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功能模块的设计符合医嘱专业术语和临床护理术语的标准和协议。</w:t>
      </w:r>
    </w:p>
    <w:p>
      <w:pPr>
        <w:pStyle w:val="5"/>
        <w:numPr>
          <w:ilvl w:val="0"/>
          <w:numId w:val="0"/>
        </w:numPr>
        <w:bidi w:val="0"/>
        <w:rPr>
          <w:rFonts w:hint="eastAsia"/>
          <w:sz w:val="21"/>
          <w:szCs w:val="21"/>
          <w:highlight w:val="none"/>
        </w:rPr>
      </w:pPr>
      <w:r>
        <w:rPr>
          <w:rFonts w:hint="eastAsia"/>
          <w:sz w:val="21"/>
          <w:szCs w:val="21"/>
          <w:highlight w:val="none"/>
          <w:lang w:val="en-US" w:eastAsia="zh-CN"/>
        </w:rPr>
        <w:t>2.43、</w:t>
      </w:r>
      <w:r>
        <w:rPr>
          <w:rFonts w:hint="eastAsia"/>
          <w:sz w:val="21"/>
          <w:szCs w:val="21"/>
          <w:highlight w:val="none"/>
        </w:rPr>
        <w:t>体检系统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个检体检、团检体检功能；科室</w:t>
      </w:r>
      <w:r>
        <w:rPr>
          <w:rFonts w:hint="eastAsia" w:ascii="宋体" w:hAnsi="宋体" w:cs="宋体"/>
          <w:sz w:val="21"/>
          <w:szCs w:val="21"/>
          <w:highlight w:val="none"/>
          <w:lang w:eastAsia="zh-CN"/>
        </w:rPr>
        <w:t>分拣</w:t>
      </w:r>
      <w:r>
        <w:rPr>
          <w:rFonts w:hint="eastAsia" w:ascii="宋体" w:hAnsi="宋体" w:eastAsia="宋体" w:cs="宋体"/>
          <w:sz w:val="21"/>
          <w:szCs w:val="21"/>
          <w:highlight w:val="none"/>
        </w:rPr>
        <w:t>、科室总检，包含会员管理，检后管理功能；报告生成、体检项目设置，体检表生成，统计报表。</w:t>
      </w:r>
    </w:p>
    <w:p>
      <w:pPr>
        <w:pStyle w:val="5"/>
        <w:numPr>
          <w:ilvl w:val="0"/>
          <w:numId w:val="0"/>
        </w:numPr>
        <w:bidi w:val="0"/>
        <w:rPr>
          <w:rFonts w:hint="eastAsia"/>
          <w:sz w:val="21"/>
          <w:szCs w:val="21"/>
          <w:highlight w:val="none"/>
        </w:rPr>
      </w:pPr>
      <w:r>
        <w:rPr>
          <w:rFonts w:hint="eastAsia"/>
          <w:sz w:val="21"/>
          <w:szCs w:val="21"/>
          <w:highlight w:val="none"/>
          <w:lang w:val="en-US" w:eastAsia="zh-CN"/>
        </w:rPr>
        <w:t>2.44、</w:t>
      </w:r>
      <w:r>
        <w:rPr>
          <w:rFonts w:hint="eastAsia"/>
          <w:sz w:val="21"/>
          <w:szCs w:val="21"/>
          <w:highlight w:val="none"/>
        </w:rPr>
        <w:t>医疗不良事件报告系统</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提供对护理不良事件、医疗安全不良事件、药品不良事件、医疗器械不良事件、压疮不良事件、难免压疮不良事件、跌倒高危不良事件、跌倒坠床不良事件上报、修改、审核进行管理。对上报数据进行查询统计。</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宋体" w:hAnsi="宋体" w:eastAsia="宋体" w:cs="宋体"/>
          <w:sz w:val="24"/>
          <w:szCs w:val="24"/>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bidi w:val="0"/>
        <w:rPr>
          <w:rFonts w:hint="eastAsia"/>
          <w:highlight w:val="none"/>
        </w:rPr>
      </w:pPr>
    </w:p>
    <w:p>
      <w:pPr>
        <w:pStyle w:val="3"/>
        <w:bidi w:val="0"/>
        <w:rPr>
          <w:highlight w:val="none"/>
        </w:rPr>
      </w:pPr>
      <w:r>
        <w:rPr>
          <w:rFonts w:hint="eastAsia"/>
          <w:highlight w:val="none"/>
        </w:rPr>
        <w:t>第五部分  签订合同的主要条款</w:t>
      </w:r>
      <w:bookmarkEnd w:id="113"/>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甲方（采购人）：                  </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乙方（中标人）：               </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rPr>
        <w:t xml:space="preserve">项目编号：                     </w:t>
      </w:r>
      <w:r>
        <w:rPr>
          <w:rFonts w:hint="eastAsia" w:ascii="宋体" w:hAnsi="宋体" w:cs="宋体"/>
          <w:szCs w:val="21"/>
          <w:highlight w:val="none"/>
          <w:lang w:eastAsia="zh-CN"/>
        </w:rPr>
        <w:t>）</w:t>
      </w:r>
      <w:r>
        <w:rPr>
          <w:rFonts w:hint="eastAsia" w:ascii="宋体" w:hAnsi="宋体" w:cs="宋体"/>
          <w:szCs w:val="21"/>
          <w:highlight w:val="none"/>
        </w:rPr>
        <w:t xml:space="preserve">在由陕西坤驰项目管理咨询有限公司组织公开招标，                </w:t>
      </w:r>
      <w:r>
        <w:rPr>
          <w:rFonts w:hint="eastAsia" w:ascii="宋体" w:hAnsi="宋体" w:cs="宋体"/>
          <w:szCs w:val="21"/>
          <w:highlight w:val="none"/>
          <w:lang w:eastAsia="zh-CN"/>
        </w:rPr>
        <w:t>（</w:t>
      </w:r>
      <w:r>
        <w:rPr>
          <w:rFonts w:hint="eastAsia" w:ascii="宋体" w:hAnsi="宋体" w:cs="宋体"/>
          <w:szCs w:val="21"/>
          <w:highlight w:val="none"/>
        </w:rPr>
        <w:t>以下简称“甲方”</w:t>
      </w:r>
      <w:r>
        <w:rPr>
          <w:rFonts w:hint="eastAsia" w:ascii="宋体" w:hAnsi="宋体" w:cs="宋体"/>
          <w:szCs w:val="21"/>
          <w:highlight w:val="none"/>
          <w:lang w:eastAsia="zh-CN"/>
        </w:rPr>
        <w:t>）</w:t>
      </w:r>
      <w:r>
        <w:rPr>
          <w:rFonts w:hint="eastAsia" w:ascii="宋体" w:hAnsi="宋体" w:cs="宋体"/>
          <w:szCs w:val="21"/>
          <w:highlight w:val="none"/>
        </w:rPr>
        <w:t>确定        （以下简称“乙方”）为的中标人。</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依据《中华人民共和国民法典》和《中华人民共和国政府采购法》，经双方协商按下述条款和条件签署本合同。</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一、合同价款</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（一）合同总价款为人民币（大写）        （￥      ）。</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（二）合同总价包括：产品供应费、运输费（含保险费）、安装调试费、检测验收费、税金</w:t>
      </w:r>
      <w:r>
        <w:rPr>
          <w:rFonts w:hint="eastAsia" w:ascii="宋体" w:hAnsi="宋体" w:cs="宋体"/>
          <w:szCs w:val="21"/>
          <w:highlight w:val="none"/>
          <w:lang w:eastAsia="zh-CN"/>
        </w:rPr>
        <w:t>及其他</w:t>
      </w:r>
      <w:r>
        <w:rPr>
          <w:rFonts w:hint="eastAsia" w:ascii="宋体" w:hAnsi="宋体" w:cs="宋体"/>
          <w:szCs w:val="21"/>
          <w:highlight w:val="none"/>
        </w:rPr>
        <w:t>费用。</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（三）合同总价一次性包死，不受市场价格变化因素的影响。</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（四）所有上线使用系统维护年费总合计不超过</w:t>
      </w:r>
      <w:r>
        <w:rPr>
          <w:rFonts w:hint="eastAsia" w:ascii="宋体" w:hAnsi="宋体" w:cs="宋体"/>
          <w:szCs w:val="21"/>
          <w:highlight w:val="none"/>
          <w:u w:val="single"/>
        </w:rPr>
        <w:t xml:space="preserve">    </w:t>
      </w:r>
      <w:r>
        <w:rPr>
          <w:rFonts w:hint="eastAsia" w:ascii="宋体" w:hAnsi="宋体" w:cs="宋体"/>
          <w:szCs w:val="21"/>
          <w:highlight w:val="none"/>
        </w:rPr>
        <w:t>万元</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二、产品清单（附后）</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三、款项结算</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1、结算单位：采购人结算，在付款前必须开具等额发票给采购人。</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2、付款方式</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（1）硬件安装验收合格试运行1个月内，支付合同中硬件部分总金额的90%；</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（2）软件安装验收合格试运行1个月，支付合同中软件部分总金额的60%，余下30%两年内付清。</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（3）剩余的10 %作为质保金，质保期满三年后1个月内，一次付清。</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3、支付方式：银行转账。</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4、结算方式：乙方在接受付款前开具全额发票给甲方。</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四、双方的权利和义务</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（一）甲方的权利与义务</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1.甲方提供安装条件其中包括水，电，气到位。</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甲方在收到货物通知后，应按招标文件的需求进行核实，如发现不符合合同规定或短缺，及时提出，甲方在收到货后，组织人员按提供的技术参数指标进行验收，验收期为30天，逾期未提出异议，则视为验收合格。甲方必须按交货时间交付乙方安装现场，并现场配合。</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（二）乙方的权利与义务</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1.乙方负责产品安装与调试在合同约定的时间完工。</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2.乙方所提供的产品必须是采购需求产品，运输及安装施工全过程中的安全由乙方负责。</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3.在作业现场安装及调试过程中，乙方应积极配合甲方与水、电、气安装人员进行配合，最终完成产品的安装调试（联调）工作。</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五、实施要求：</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（一）服务地点：医院指定地点。</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（二）服务期：自合同签订生效之日起</w:t>
      </w:r>
      <w:r>
        <w:rPr>
          <w:rFonts w:hint="eastAsia" w:ascii="宋体" w:hAnsi="宋体" w:cs="宋体"/>
          <w:szCs w:val="21"/>
          <w:highlight w:val="none"/>
          <w:u w:val="single"/>
        </w:rPr>
        <w:t>180</w:t>
      </w:r>
      <w:r>
        <w:rPr>
          <w:rFonts w:hint="eastAsia" w:ascii="宋体" w:hAnsi="宋体" w:cs="宋体"/>
          <w:szCs w:val="21"/>
          <w:highlight w:val="none"/>
        </w:rPr>
        <w:t>日历天完成软件的安装、调试并正常运行。</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（三）质保期：自验收合格之日起硬件质保 3 年，软件质保 1 年，免费维护期间软件免费升级。并提供厂商针对本项目的售后服务承诺函。</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六、运输</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（一）乙方负责所有产品的运输，确保采购产品安全、完整到达甲方指定地点。运杂费用已包含在合同总价内，包括从产品供应地点所含的运输费、装卸费、仓储费、保险费等。</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（二）运输方式由乙方自行选择，但必须保证按期交货所有采购货物在运输、搬运的过程中，造成甲方损失的，由乙方为甲方修复或更新。</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七、质量保证</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（一）乙方选用的产品保证技术指标先进、质量性能可靠、进货渠道正常，配置合理，满足招标文件要求。</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（二）产品符合国家有关规范要求，确保整个产品达到最佳运行状态。</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（三）各种产品具有良好的外观，适合各种安装场所的使用。</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（四）产品自安装、调试正常运行并验收合格之日起：</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八、售后服务</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（一）质保期内：</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1.乙方所供产品发生质量问题，接到甲方通知后，应于当日派出专业的维修人员到产品现场进行检测维修，发生的全部费用由乙方承担，若需将产品送回生产厂，乙方承担往返费用；</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2.乙方定期派技术人员到产品现场走访，对产品给予检查维护；</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3.乙方排除产品故障的期限不得超过8小时（工作日）。否则甲方有权指定第三方维修，维修费用由乙方承担。</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（二）质保期结束前，乙方应对所供产品进行系统测试，全面保养维护，维护内容包括：检查所有产品的各类连接件等，确保产品的正常运行。</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九、技术与服务</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（一）技术资料：</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1.产品合格证；</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2.产品使用说明书（中文）； </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3.进口产品商检证明和报关单（若有）；</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4.调试记录，测试报告；</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5.其它资料等。</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（二）服务承诺：以招标文件、澄清表、合同和随产品的相关文件为准，但至少应包括：</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1.乙方对其所售产品负责备品配件的供应</w:t>
      </w:r>
      <w:r>
        <w:rPr>
          <w:rFonts w:hint="eastAsia" w:ascii="宋体" w:hAnsi="宋体" w:cs="宋体"/>
          <w:szCs w:val="21"/>
          <w:highlight w:val="none"/>
          <w:lang w:eastAsia="zh-CN"/>
        </w:rPr>
        <w:t>，</w:t>
      </w:r>
      <w:r>
        <w:rPr>
          <w:rFonts w:hint="eastAsia" w:ascii="宋体" w:hAnsi="宋体" w:cs="宋体"/>
          <w:szCs w:val="21"/>
          <w:highlight w:val="none"/>
        </w:rPr>
        <w:t>长期提供有偿维修、技术咨询等服务。</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2.服务响应时限：7*24小时服务，2个小时到达故障现场处理</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3.派专人对所供产品提供售后服务，并每月定期对所供产品进行巡检，做好巡检记录。</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4.在产品安装过程中，应注意用水、用电、用气的安全，安装人员出现伤亡事故由乙方自行承担。</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（三）人员培训：当产品安装调试结束后，乙方应对所使用人员进行培训，并制作培训教材以便使用。</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十、违约责任</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（一）按《民法典》中的相关条款执行。</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（二）乙方工期每超过一天，扣除乙方合同总价款的0.2%，迟交产品超过30天，甲方有权拒收产品。</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按合同要求提供产品或产品质量不能满足采购技术要求，乙方必须无条件更换产品，提高技术，完善质量，否则，甲方会同监督机构、采购代理机构有权终止合同并对乙方违约行为进行追究，同时按政府采购投标人管理办法进行相应的处罚。</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（四）任何一方因不可抗力原因不能履行协议时，应尽快通知对方，双方均设法补偿。如仍无法履约协议，可协商延缓或撤销协议，双方责任免除。</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五）软硬件购买后使用权终身为购买方所有，中标方不得设置任何限制影响购买方使用。若有违约造成购买方损失者按</w:t>
      </w:r>
      <w:r>
        <w:rPr>
          <w:rFonts w:hint="eastAsia" w:ascii="宋体" w:hAnsi="宋体" w:cs="宋体"/>
          <w:szCs w:val="21"/>
          <w:highlight w:val="none"/>
          <w:lang w:eastAsia="zh-CN"/>
        </w:rPr>
        <w:t>学院</w:t>
      </w:r>
      <w:r>
        <w:rPr>
          <w:rFonts w:hint="eastAsia" w:ascii="宋体" w:hAnsi="宋体" w:cs="宋体"/>
          <w:szCs w:val="21"/>
          <w:highlight w:val="none"/>
        </w:rPr>
        <w:t>产生3倍以上赔付。</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十一、验收</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（一）本项目验收费用，由乙方自行承担。</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（二）产品到达甲方指定地点后，甲方根据合同要求，对产品进行外观验收、确认产品的产地、规格、型号和数量。</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（三）产品安装、调试并正常运行后，由乙方进行自检，合格后，准备验收文件，并书面通知甲方。</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（四）甲方确认乙方的自检内容后，会同乙方（必要时请有关专家）进行系统验收，验收合格后，填写项目验收单（一式四份）作为对产品的最终认可。</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（五）乙方向甲方提交产品实施过程中的所有资料。以便甲方日后管理和维护。</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（六）验收依据：</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1.本合同及附加文本；</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2.招标文件、中标人的投标文件及澄清函；</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3.依据《医院信息互联互通标准化成熟度测评方案（2020版）》</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4.国家相应的标准、规范。</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十二、合同争议解决的方式</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本合同在履行过程中发生的争议，由甲、乙双方当事人协商解决，协商不成的按下列第（二）种方式解决：</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（一）提交汉中仲裁委员会仲裁；</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（二）依法向甲方所在地人民法院起诉。</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十三、合同生效</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（一）本合同经双方签字或盖章后生效。</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（二）本合同须经甲、乙双方的法定代表人（授权代理人）在合同书上签字或盖章，并加盖本单位公章后正式生效。</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（三）合同生效后，甲、乙双方须严格执行本合同条款的规定，全面履行合同，违者按《中华人民共和国民法典》的有关规定承担相应责任。</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（四）本合同一式   份，甲乙双方各执    份。</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（五）本合同如有未尽事宜，甲、乙双方协商解决。</w:t>
      </w:r>
    </w:p>
    <w:p>
      <w:pPr>
        <w:adjustRightInd w:val="0"/>
        <w:snapToGrid w:val="0"/>
        <w:spacing w:line="360" w:lineRule="auto"/>
        <w:ind w:firstLine="525" w:firstLineChars="250"/>
        <w:rPr>
          <w:rFonts w:ascii="宋体" w:hAnsi="宋体" w:cs="宋体"/>
          <w:szCs w:val="21"/>
          <w:highlight w:val="none"/>
        </w:rPr>
      </w:pPr>
    </w:p>
    <w:p>
      <w:pPr>
        <w:adjustRightInd w:val="0"/>
        <w:snapToGrid w:val="0"/>
        <w:spacing w:line="360" w:lineRule="auto"/>
        <w:ind w:firstLine="525" w:firstLineChars="250"/>
        <w:rPr>
          <w:rFonts w:ascii="宋体" w:hAnsi="宋体" w:cs="宋体"/>
          <w:szCs w:val="21"/>
          <w:highlight w:val="none"/>
        </w:rPr>
      </w:pPr>
    </w:p>
    <w:tbl>
      <w:tblPr>
        <w:tblStyle w:val="23"/>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甲  方</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乙  方</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（盖章）</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（盖章）</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地址： </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地址：</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邮编：</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邮编：</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法定代表人： </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法定代表人：</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被授权代表：</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被授权代表：</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电话：</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电话：</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传真：</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传真：</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开户银行：</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开户银行：</w:t>
            </w:r>
          </w:p>
        </w:tc>
      </w:tr>
      <w:tr>
        <w:tblPrEx>
          <w:tblCellMar>
            <w:top w:w="0" w:type="dxa"/>
            <w:left w:w="108" w:type="dxa"/>
            <w:bottom w:w="0" w:type="dxa"/>
            <w:right w:w="108" w:type="dxa"/>
          </w:tblCellMar>
        </w:tblPrEx>
        <w:trPr>
          <w:trHeight w:val="567" w:hRule="exact"/>
          <w:jc w:val="center"/>
        </w:trPr>
        <w:tc>
          <w:tcPr>
            <w:tcW w:w="4201"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日期：</w:t>
            </w:r>
          </w:p>
        </w:tc>
        <w:tc>
          <w:tcPr>
            <w:tcW w:w="4202" w:type="dxa"/>
            <w:vAlign w:val="center"/>
          </w:tcPr>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日期：</w:t>
            </w:r>
          </w:p>
        </w:tc>
      </w:tr>
    </w:tbl>
    <w:p>
      <w:pPr>
        <w:adjustRightInd w:val="0"/>
        <w:snapToGrid w:val="0"/>
        <w:spacing w:line="360" w:lineRule="auto"/>
        <w:ind w:firstLine="401" w:firstLineChars="191"/>
        <w:rPr>
          <w:rFonts w:ascii="宋体" w:hAnsi="宋体" w:cs="宋体"/>
          <w:szCs w:val="21"/>
          <w:highlight w:val="none"/>
          <w:lang w:val="zh-CN"/>
        </w:rPr>
      </w:pPr>
      <w:r>
        <w:rPr>
          <w:rFonts w:hint="eastAsia" w:ascii="宋体" w:hAnsi="宋体" w:cs="宋体"/>
          <w:szCs w:val="21"/>
          <w:highlight w:val="none"/>
          <w:lang w:val="zh-CN"/>
        </w:rPr>
        <w:t>注：本合同模板仅为的参考文本，合同签订双方可根据项目的具体要求进行修改。</w:t>
      </w:r>
    </w:p>
    <w:p>
      <w:pPr>
        <w:bidi w:val="0"/>
        <w:rPr>
          <w:highlight w:val="none"/>
        </w:rPr>
      </w:pPr>
    </w:p>
    <w:p>
      <w:pPr>
        <w:bidi w:val="0"/>
        <w:rPr>
          <w:highlight w:val="none"/>
        </w:rPr>
      </w:pPr>
    </w:p>
    <w:p>
      <w:pPr>
        <w:bidi w:val="0"/>
        <w:rPr>
          <w:highlight w:val="none"/>
        </w:rPr>
      </w:pPr>
    </w:p>
    <w:p>
      <w:pPr>
        <w:bidi w:val="0"/>
        <w:rPr>
          <w:rFonts w:ascii="宋体" w:hAnsi="宋体" w:cs="宋体"/>
          <w:b/>
          <w:color w:val="000000"/>
          <w:szCs w:val="36"/>
          <w:highlight w:val="none"/>
        </w:rPr>
      </w:pPr>
      <w:bookmarkStart w:id="114" w:name="_Toc9643"/>
      <w:r>
        <w:rPr>
          <w:rFonts w:hint="eastAsia"/>
          <w:highlight w:val="none"/>
        </w:rPr>
        <w:br w:type="page"/>
      </w:r>
    </w:p>
    <w:p>
      <w:pPr>
        <w:pStyle w:val="3"/>
        <w:bidi w:val="0"/>
        <w:rPr>
          <w:highlight w:val="none"/>
        </w:rPr>
      </w:pPr>
      <w:r>
        <w:rPr>
          <w:rFonts w:hint="eastAsia"/>
          <w:highlight w:val="none"/>
        </w:rPr>
        <w:t>第六部分  投标文件格式</w:t>
      </w:r>
      <w:bookmarkEnd w:id="114"/>
    </w:p>
    <w:p>
      <w:pPr>
        <w:tabs>
          <w:tab w:val="left" w:pos="7665"/>
        </w:tabs>
        <w:spacing w:line="360" w:lineRule="auto"/>
        <w:ind w:firstLine="6510" w:firstLineChars="3100"/>
        <w:jc w:val="right"/>
        <w:rPr>
          <w:rFonts w:ascii="宋体" w:hAnsi="宋体" w:cs="宋体"/>
          <w:sz w:val="24"/>
          <w:highlight w:val="none"/>
        </w:rPr>
      </w:pPr>
      <w:r>
        <w:rPr>
          <w:rFonts w:hint="eastAsia" w:ascii="宋体" w:hAnsi="宋体" w:cs="宋体"/>
          <w:highlight w:val="none"/>
        </w:rPr>
        <w:t xml:space="preserve">                            </w:t>
      </w:r>
      <w:bookmarkStart w:id="115" w:name="_Toc217446082"/>
      <w:r>
        <w:rPr>
          <w:rFonts w:hint="eastAsia" w:ascii="宋体" w:hAnsi="宋体" w:cs="宋体"/>
          <w:highlight w:val="none"/>
        </w:rPr>
        <w:t xml:space="preserve"> </w:t>
      </w:r>
      <w:r>
        <w:rPr>
          <w:rFonts w:hint="eastAsia" w:ascii="宋体" w:hAnsi="宋体" w:cs="宋体"/>
          <w:highlight w:val="none"/>
          <w:lang w:eastAsia="zh-CN"/>
        </w:rPr>
        <w:t>（</w:t>
      </w:r>
      <w:r>
        <w:rPr>
          <w:rFonts w:hint="eastAsia" w:ascii="宋体" w:hAnsi="宋体" w:cs="宋体"/>
          <w:b/>
          <w:bCs/>
          <w:sz w:val="28"/>
          <w:szCs w:val="28"/>
          <w:highlight w:val="none"/>
        </w:rPr>
        <w:t>正本或副本</w:t>
      </w:r>
      <w:r>
        <w:rPr>
          <w:rFonts w:hint="eastAsia" w:ascii="宋体" w:hAnsi="宋体" w:cs="宋体"/>
          <w:b/>
          <w:bCs/>
          <w:sz w:val="28"/>
          <w:szCs w:val="28"/>
          <w:highlight w:val="none"/>
          <w:lang w:eastAsia="zh-CN"/>
        </w:rPr>
        <w:t>）</w:t>
      </w:r>
    </w:p>
    <w:p>
      <w:pPr>
        <w:spacing w:line="360" w:lineRule="auto"/>
        <w:rPr>
          <w:rFonts w:ascii="宋体" w:hAnsi="宋体" w:cs="宋体"/>
          <w:b/>
          <w:sz w:val="28"/>
          <w:szCs w:val="28"/>
          <w:highlight w:val="none"/>
        </w:rPr>
      </w:pPr>
      <w:r>
        <w:rPr>
          <w:rFonts w:hint="eastAsia" w:ascii="宋体" w:hAnsi="宋体" w:cs="宋体"/>
          <w:b/>
          <w:bCs/>
          <w:sz w:val="28"/>
          <w:szCs w:val="28"/>
          <w:highlight w:val="none"/>
        </w:rPr>
        <w:t>招标编号：</w:t>
      </w:r>
    </w:p>
    <w:p>
      <w:pPr>
        <w:spacing w:line="360" w:lineRule="auto"/>
        <w:jc w:val="left"/>
        <w:rPr>
          <w:rFonts w:ascii="宋体" w:hAnsi="宋体" w:cs="宋体"/>
          <w:b/>
          <w:sz w:val="52"/>
          <w:szCs w:val="52"/>
          <w:highlight w:val="none"/>
        </w:rPr>
      </w:pPr>
    </w:p>
    <w:p>
      <w:pPr>
        <w:tabs>
          <w:tab w:val="left" w:pos="7665"/>
        </w:tabs>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汉阴县中医医院信息化建设项目</w:t>
      </w:r>
    </w:p>
    <w:p>
      <w:pPr>
        <w:spacing w:line="360" w:lineRule="auto"/>
        <w:rPr>
          <w:rFonts w:ascii="宋体" w:hAnsi="宋体" w:cs="宋体"/>
          <w:b/>
          <w:bCs/>
          <w:sz w:val="24"/>
          <w:highlight w:val="none"/>
        </w:rPr>
      </w:pPr>
    </w:p>
    <w:p>
      <w:pPr>
        <w:tabs>
          <w:tab w:val="left" w:pos="7665"/>
        </w:tabs>
        <w:spacing w:line="360" w:lineRule="auto"/>
        <w:ind w:firstLine="482" w:firstLineChars="200"/>
        <w:jc w:val="center"/>
        <w:rPr>
          <w:rFonts w:ascii="宋体" w:hAnsi="宋体" w:cs="宋体"/>
          <w:b/>
          <w:bCs/>
          <w:sz w:val="24"/>
          <w:highlight w:val="none"/>
        </w:rPr>
      </w:pPr>
    </w:p>
    <w:p>
      <w:pPr>
        <w:tabs>
          <w:tab w:val="left" w:pos="7665"/>
        </w:tabs>
        <w:spacing w:line="360" w:lineRule="auto"/>
        <w:jc w:val="center"/>
        <w:rPr>
          <w:rFonts w:ascii="宋体" w:hAnsi="宋体" w:cs="宋体"/>
          <w:b/>
          <w:bCs/>
          <w:sz w:val="44"/>
          <w:szCs w:val="44"/>
          <w:highlight w:val="none"/>
        </w:rPr>
      </w:pPr>
      <w:bookmarkStart w:id="116" w:name="_Toc12894_WPSOffice_Level2"/>
      <w:r>
        <w:rPr>
          <w:rFonts w:hint="eastAsia" w:ascii="宋体" w:hAnsi="宋体" w:cs="宋体"/>
          <w:b/>
          <w:bCs/>
          <w:sz w:val="44"/>
          <w:szCs w:val="44"/>
          <w:highlight w:val="none"/>
        </w:rPr>
        <w:t>投标文件</w:t>
      </w:r>
      <w:bookmarkEnd w:id="116"/>
    </w:p>
    <w:p>
      <w:pPr>
        <w:tabs>
          <w:tab w:val="left" w:pos="7665"/>
        </w:tabs>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（资格审查部分）</w:t>
      </w:r>
    </w:p>
    <w:p>
      <w:pPr>
        <w:tabs>
          <w:tab w:val="left" w:pos="7665"/>
        </w:tabs>
        <w:spacing w:line="360" w:lineRule="auto"/>
        <w:ind w:firstLine="560" w:firstLineChars="200"/>
        <w:rPr>
          <w:rFonts w:ascii="宋体" w:hAnsi="宋体" w:cs="宋体"/>
          <w:sz w:val="28"/>
          <w:szCs w:val="28"/>
          <w:highlight w:val="none"/>
        </w:rPr>
      </w:pPr>
    </w:p>
    <w:p>
      <w:pPr>
        <w:tabs>
          <w:tab w:val="left" w:pos="7665"/>
        </w:tabs>
        <w:spacing w:line="360" w:lineRule="auto"/>
        <w:ind w:firstLine="560" w:firstLineChars="200"/>
        <w:rPr>
          <w:rFonts w:ascii="宋体" w:hAnsi="宋体" w:cs="宋体"/>
          <w:sz w:val="28"/>
          <w:szCs w:val="28"/>
          <w:highlight w:val="none"/>
        </w:rPr>
      </w:pPr>
    </w:p>
    <w:p>
      <w:pPr>
        <w:tabs>
          <w:tab w:val="left" w:pos="7665"/>
        </w:tabs>
        <w:spacing w:line="360" w:lineRule="auto"/>
        <w:rPr>
          <w:rFonts w:ascii="宋体" w:hAnsi="宋体" w:cs="宋体"/>
          <w:sz w:val="28"/>
          <w:szCs w:val="28"/>
          <w:highlight w:val="none"/>
        </w:rPr>
      </w:pPr>
    </w:p>
    <w:p>
      <w:pPr>
        <w:pStyle w:val="16"/>
        <w:rPr>
          <w:rFonts w:ascii="宋体" w:hAnsi="宋体" w:cs="宋体"/>
          <w:sz w:val="28"/>
          <w:szCs w:val="28"/>
          <w:highlight w:val="none"/>
        </w:rPr>
      </w:pPr>
    </w:p>
    <w:p>
      <w:pPr>
        <w:pStyle w:val="14"/>
        <w:rPr>
          <w:rFonts w:ascii="宋体" w:hAnsi="宋体" w:cs="宋体"/>
          <w:sz w:val="28"/>
          <w:szCs w:val="28"/>
          <w:highlight w:val="none"/>
        </w:rPr>
      </w:pPr>
    </w:p>
    <w:p>
      <w:pPr>
        <w:rPr>
          <w:rFonts w:ascii="宋体" w:hAnsi="宋体" w:cs="宋体"/>
          <w:sz w:val="28"/>
          <w:szCs w:val="28"/>
          <w:highlight w:val="none"/>
        </w:rPr>
      </w:pPr>
    </w:p>
    <w:p>
      <w:pPr>
        <w:pStyle w:val="6"/>
        <w:ind w:firstLine="560"/>
        <w:rPr>
          <w:rFonts w:ascii="宋体" w:hAnsi="宋体" w:cs="宋体"/>
          <w:sz w:val="28"/>
          <w:szCs w:val="28"/>
          <w:highlight w:val="none"/>
        </w:rPr>
      </w:pPr>
    </w:p>
    <w:p>
      <w:pPr>
        <w:pStyle w:val="7"/>
        <w:rPr>
          <w:highlight w:val="none"/>
        </w:rPr>
      </w:pPr>
    </w:p>
    <w:bookmarkEnd w:id="115"/>
    <w:p>
      <w:pPr>
        <w:adjustRightInd w:val="0"/>
        <w:snapToGrid w:val="0"/>
        <w:spacing w:line="360" w:lineRule="auto"/>
        <w:rPr>
          <w:rFonts w:ascii="宋体" w:hAnsi="宋体" w:cs="宋体"/>
          <w:highlight w:val="none"/>
        </w:rPr>
      </w:pPr>
    </w:p>
    <w:p>
      <w:pPr>
        <w:tabs>
          <w:tab w:val="left" w:pos="2200"/>
        </w:tabs>
        <w:adjustRightInd w:val="0"/>
        <w:snapToGrid w:val="0"/>
        <w:spacing w:line="360" w:lineRule="auto"/>
        <w:ind w:firstLine="660" w:firstLineChars="220"/>
        <w:jc w:val="left"/>
        <w:rPr>
          <w:rFonts w:ascii="宋体" w:hAnsi="宋体" w:cs="宋体"/>
          <w:sz w:val="28"/>
          <w:highlight w:val="none"/>
        </w:rPr>
      </w:pPr>
      <w:r>
        <w:rPr>
          <w:rFonts w:hint="eastAsia" w:ascii="宋体" w:hAnsi="宋体" w:cs="宋体"/>
          <w:sz w:val="30"/>
          <w:highlight w:val="none"/>
        </w:rPr>
        <w:t xml:space="preserve">供   应   商： </w:t>
      </w:r>
      <w:r>
        <w:rPr>
          <w:rFonts w:hint="eastAsia" w:ascii="宋体" w:hAnsi="宋体" w:cs="宋体"/>
          <w:sz w:val="30"/>
          <w:highlight w:val="none"/>
          <w:u w:val="thick"/>
        </w:rPr>
        <w:t xml:space="preserve">                          </w:t>
      </w:r>
      <w:r>
        <w:rPr>
          <w:rFonts w:hint="eastAsia" w:ascii="宋体" w:hAnsi="宋体" w:cs="宋体"/>
          <w:sz w:val="30"/>
          <w:highlight w:val="none"/>
        </w:rPr>
        <w:t xml:space="preserve"> （盖章）</w:t>
      </w:r>
    </w:p>
    <w:p>
      <w:pPr>
        <w:adjustRightInd w:val="0"/>
        <w:snapToGrid w:val="0"/>
        <w:spacing w:line="360" w:lineRule="auto"/>
        <w:ind w:firstLine="660" w:firstLineChars="220"/>
        <w:jc w:val="left"/>
        <w:rPr>
          <w:rFonts w:ascii="宋体" w:hAnsi="宋体" w:cs="宋体"/>
          <w:sz w:val="30"/>
          <w:highlight w:val="none"/>
        </w:rPr>
      </w:pPr>
      <w:r>
        <w:rPr>
          <w:rFonts w:hint="eastAsia" w:ascii="宋体" w:hAnsi="宋体" w:cs="宋体"/>
          <w:sz w:val="30"/>
          <w:highlight w:val="none"/>
        </w:rPr>
        <w:t>法定代表人或</w:t>
      </w:r>
    </w:p>
    <w:p>
      <w:pPr>
        <w:adjustRightInd w:val="0"/>
        <w:snapToGrid w:val="0"/>
        <w:spacing w:line="360" w:lineRule="auto"/>
        <w:ind w:firstLine="660" w:firstLineChars="220"/>
        <w:jc w:val="left"/>
        <w:rPr>
          <w:rFonts w:ascii="宋体" w:hAnsi="宋体" w:cs="宋体"/>
          <w:sz w:val="30"/>
          <w:highlight w:val="none"/>
        </w:rPr>
      </w:pPr>
      <w:r>
        <w:rPr>
          <w:rFonts w:hint="eastAsia" w:ascii="宋体" w:hAnsi="宋体" w:cs="宋体"/>
          <w:sz w:val="30"/>
          <w:highlight w:val="none"/>
        </w:rPr>
        <w:t>其委托代理人：</w:t>
      </w:r>
      <w:r>
        <w:rPr>
          <w:rFonts w:hint="eastAsia" w:ascii="宋体" w:hAnsi="宋体" w:cs="宋体"/>
          <w:sz w:val="30"/>
          <w:highlight w:val="none"/>
          <w:u w:val="thick"/>
        </w:rPr>
        <w:t xml:space="preserve">                     </w:t>
      </w:r>
      <w:r>
        <w:rPr>
          <w:rFonts w:hint="eastAsia" w:ascii="宋体" w:hAnsi="宋体" w:cs="宋体"/>
          <w:sz w:val="30"/>
          <w:highlight w:val="none"/>
        </w:rPr>
        <w:t>（签字或盖章）</w:t>
      </w:r>
    </w:p>
    <w:p>
      <w:pPr>
        <w:adjustRightInd w:val="0"/>
        <w:snapToGrid w:val="0"/>
        <w:spacing w:line="360" w:lineRule="auto"/>
        <w:ind w:firstLine="660" w:firstLineChars="220"/>
        <w:jc w:val="left"/>
        <w:rPr>
          <w:rFonts w:ascii="宋体" w:hAnsi="宋体" w:cs="宋体"/>
          <w:sz w:val="30"/>
          <w:highlight w:val="none"/>
        </w:rPr>
      </w:pPr>
      <w:r>
        <w:rPr>
          <w:rFonts w:hint="eastAsia" w:ascii="宋体" w:hAnsi="宋体" w:cs="宋体"/>
          <w:sz w:val="30"/>
          <w:highlight w:val="none"/>
        </w:rPr>
        <w:t>日        期：</w:t>
      </w:r>
      <w:r>
        <w:rPr>
          <w:rFonts w:hint="eastAsia" w:ascii="宋体" w:hAnsi="宋体" w:cs="宋体"/>
          <w:sz w:val="30"/>
          <w:highlight w:val="none"/>
          <w:u w:val="thick"/>
        </w:rPr>
        <w:t xml:space="preserve">        </w:t>
      </w:r>
      <w:r>
        <w:rPr>
          <w:rFonts w:hint="eastAsia" w:ascii="宋体" w:hAnsi="宋体" w:cs="宋体"/>
          <w:sz w:val="30"/>
          <w:highlight w:val="none"/>
        </w:rPr>
        <w:t>年</w:t>
      </w:r>
      <w:r>
        <w:rPr>
          <w:rFonts w:hint="eastAsia" w:ascii="宋体" w:hAnsi="宋体" w:cs="宋体"/>
          <w:sz w:val="30"/>
          <w:highlight w:val="none"/>
          <w:u w:val="thick"/>
        </w:rPr>
        <w:t xml:space="preserve">        </w:t>
      </w:r>
      <w:r>
        <w:rPr>
          <w:rFonts w:hint="eastAsia" w:ascii="宋体" w:hAnsi="宋体" w:cs="宋体"/>
          <w:sz w:val="30"/>
          <w:highlight w:val="none"/>
        </w:rPr>
        <w:t>月</w:t>
      </w:r>
      <w:r>
        <w:rPr>
          <w:rFonts w:hint="eastAsia" w:ascii="宋体" w:hAnsi="宋体" w:cs="宋体"/>
          <w:sz w:val="30"/>
          <w:highlight w:val="none"/>
          <w:u w:val="thick"/>
        </w:rPr>
        <w:t xml:space="preserve">        </w:t>
      </w:r>
      <w:r>
        <w:rPr>
          <w:rFonts w:hint="eastAsia" w:ascii="宋体" w:hAnsi="宋体" w:cs="宋体"/>
          <w:sz w:val="30"/>
          <w:highlight w:val="none"/>
        </w:rPr>
        <w:t>日</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pStyle w:val="10"/>
        <w:rPr>
          <w:rFonts w:ascii="宋体" w:hAnsi="宋体" w:cs="宋体"/>
          <w:highlight w:val="none"/>
        </w:rPr>
      </w:pPr>
      <w:bookmarkStart w:id="117" w:name="_Toc27062_WPSOffice_Level2"/>
    </w:p>
    <w:p>
      <w:pPr>
        <w:pStyle w:val="10"/>
        <w:rPr>
          <w:rFonts w:ascii="宋体" w:hAnsi="宋体" w:cs="宋体"/>
          <w:sz w:val="24"/>
          <w:highlight w:val="none"/>
        </w:rPr>
      </w:pPr>
    </w:p>
    <w:p>
      <w:pPr>
        <w:spacing w:line="360" w:lineRule="auto"/>
        <w:jc w:val="center"/>
        <w:rPr>
          <w:rFonts w:ascii="宋体" w:hAnsi="宋体" w:cs="宋体"/>
          <w:sz w:val="24"/>
          <w:szCs w:val="32"/>
          <w:highlight w:val="none"/>
        </w:rPr>
      </w:pPr>
      <w:r>
        <w:rPr>
          <w:rFonts w:hint="eastAsia" w:ascii="宋体" w:hAnsi="宋体" w:cs="宋体"/>
          <w:sz w:val="24"/>
          <w:szCs w:val="32"/>
          <w:highlight w:val="none"/>
        </w:rPr>
        <w:t>目      录</w:t>
      </w:r>
    </w:p>
    <w:p>
      <w:pPr>
        <w:spacing w:line="360" w:lineRule="auto"/>
        <w:rPr>
          <w:rFonts w:ascii="宋体" w:hAnsi="宋体" w:cs="宋体"/>
          <w:sz w:val="24"/>
          <w:szCs w:val="32"/>
          <w:highlight w:val="none"/>
        </w:rPr>
      </w:pP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（1）投标供应商基本情况表 </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（2）法定代表人（单位负责人）身份证明</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（3）法定代表人授权书</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（4）投标供应商的营业执照等证明文件，自然人的身份证明</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（5）财务状况报告 </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（6）税收缴纳证明</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（7）缴纳社会保障资金证明 </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（8）参加本次政府采购活动前三年内，在经营活动中没有重大违法记录的书面声明</w:t>
      </w:r>
    </w:p>
    <w:p>
      <w:pPr>
        <w:pStyle w:val="6"/>
        <w:spacing w:line="360" w:lineRule="auto"/>
        <w:ind w:firstLine="480"/>
        <w:rPr>
          <w:rFonts w:ascii="宋体" w:hAnsi="宋体" w:cs="宋体"/>
          <w:sz w:val="24"/>
          <w:szCs w:val="24"/>
          <w:highlight w:val="none"/>
        </w:rPr>
      </w:pPr>
      <w:r>
        <w:rPr>
          <w:rFonts w:hint="eastAsia" w:ascii="宋体" w:hAnsi="宋体" w:cs="宋体"/>
          <w:sz w:val="24"/>
          <w:szCs w:val="24"/>
          <w:highlight w:val="none"/>
        </w:rPr>
        <w:t>（9）其他需要补充的资料</w:t>
      </w:r>
    </w:p>
    <w:p>
      <w:pPr>
        <w:pStyle w:val="6"/>
        <w:spacing w:line="360" w:lineRule="auto"/>
        <w:ind w:firstLine="480"/>
        <w:rPr>
          <w:rFonts w:ascii="宋体" w:hAnsi="宋体" w:cs="宋体"/>
          <w:highlight w:val="none"/>
        </w:rPr>
      </w:pPr>
      <w:r>
        <w:rPr>
          <w:rFonts w:hint="eastAsia" w:ascii="宋体" w:hAnsi="宋体" w:cs="宋体"/>
          <w:sz w:val="24"/>
          <w:szCs w:val="24"/>
          <w:highlight w:val="none"/>
        </w:rPr>
        <w:t>（10）</w:t>
      </w:r>
      <w:r>
        <w:rPr>
          <w:rFonts w:hint="eastAsia" w:ascii="宋体" w:hAnsi="宋体" w:cs="宋体"/>
          <w:sz w:val="24"/>
          <w:szCs w:val="32"/>
          <w:highlight w:val="none"/>
        </w:rPr>
        <w:t>信用查询记录（评审现场网络审查）</w:t>
      </w: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pPr>
      <w:r>
        <w:rPr>
          <w:rFonts w:hint="eastAsia" w:ascii="宋体" w:hAnsi="宋体" w:cs="宋体"/>
          <w:b/>
          <w:bCs/>
          <w:sz w:val="24"/>
          <w:highlight w:val="none"/>
        </w:rPr>
        <w:t>1.投标供应商基本情况表</w:t>
      </w:r>
      <w:bookmarkEnd w:id="117"/>
    </w:p>
    <w:p>
      <w:pPr>
        <w:pStyle w:val="16"/>
        <w:rPr>
          <w:rFonts w:ascii="宋体" w:hAnsi="宋体" w:cs="宋体"/>
          <w:highlight w:val="none"/>
        </w:rPr>
      </w:pPr>
    </w:p>
    <w:p>
      <w:pPr>
        <w:pStyle w:val="16"/>
        <w:rPr>
          <w:rFonts w:ascii="宋体" w:hAnsi="宋体" w:cs="宋体"/>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1419"/>
        <w:gridCol w:w="1418"/>
        <w:gridCol w:w="1381"/>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投标供应商名称</w:t>
            </w:r>
          </w:p>
        </w:tc>
        <w:tc>
          <w:tcPr>
            <w:tcW w:w="7016" w:type="dxa"/>
            <w:gridSpan w:val="5"/>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统一社会</w:t>
            </w:r>
          </w:p>
          <w:p>
            <w:pPr>
              <w:spacing w:line="360" w:lineRule="auto"/>
              <w:jc w:val="center"/>
              <w:rPr>
                <w:rFonts w:ascii="宋体" w:hAnsi="宋体" w:cs="宋体"/>
                <w:sz w:val="24"/>
                <w:highlight w:val="none"/>
              </w:rPr>
            </w:pPr>
            <w:r>
              <w:rPr>
                <w:rFonts w:hint="eastAsia" w:ascii="宋体" w:hAnsi="宋体" w:cs="宋体"/>
                <w:sz w:val="24"/>
                <w:highlight w:val="none"/>
              </w:rPr>
              <w:t>信用代码</w:t>
            </w:r>
          </w:p>
        </w:tc>
        <w:tc>
          <w:tcPr>
            <w:tcW w:w="1416" w:type="dxa"/>
            <w:vAlign w:val="center"/>
          </w:tcPr>
          <w:p>
            <w:pPr>
              <w:spacing w:line="360" w:lineRule="auto"/>
              <w:jc w:val="center"/>
              <w:rPr>
                <w:rFonts w:ascii="宋体" w:hAnsi="宋体" w:cs="宋体"/>
                <w:sz w:val="24"/>
                <w:highlight w:val="none"/>
              </w:rPr>
            </w:pPr>
          </w:p>
        </w:tc>
        <w:tc>
          <w:tcPr>
            <w:tcW w:w="14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注册资金</w:t>
            </w:r>
          </w:p>
        </w:tc>
        <w:tc>
          <w:tcPr>
            <w:tcW w:w="1418" w:type="dxa"/>
            <w:vAlign w:val="center"/>
          </w:tcPr>
          <w:p>
            <w:pPr>
              <w:spacing w:line="360" w:lineRule="auto"/>
              <w:jc w:val="center"/>
              <w:rPr>
                <w:rFonts w:ascii="宋体" w:hAnsi="宋体" w:cs="宋体"/>
                <w:sz w:val="24"/>
                <w:highlight w:val="none"/>
              </w:rPr>
            </w:pPr>
          </w:p>
        </w:tc>
        <w:tc>
          <w:tcPr>
            <w:tcW w:w="138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成立时间</w:t>
            </w:r>
          </w:p>
        </w:tc>
        <w:tc>
          <w:tcPr>
            <w:tcW w:w="1382" w:type="dxa"/>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注册地址</w:t>
            </w:r>
          </w:p>
        </w:tc>
        <w:tc>
          <w:tcPr>
            <w:tcW w:w="4253" w:type="dxa"/>
            <w:gridSpan w:val="3"/>
            <w:vAlign w:val="center"/>
          </w:tcPr>
          <w:p>
            <w:pPr>
              <w:spacing w:line="360" w:lineRule="auto"/>
              <w:jc w:val="center"/>
              <w:rPr>
                <w:rFonts w:ascii="宋体" w:hAnsi="宋体" w:cs="宋体"/>
                <w:sz w:val="24"/>
                <w:highlight w:val="none"/>
              </w:rPr>
            </w:pPr>
          </w:p>
        </w:tc>
        <w:tc>
          <w:tcPr>
            <w:tcW w:w="138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资产总额</w:t>
            </w:r>
          </w:p>
        </w:tc>
        <w:tc>
          <w:tcPr>
            <w:tcW w:w="1382" w:type="dxa"/>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上年营业额</w:t>
            </w:r>
          </w:p>
        </w:tc>
        <w:tc>
          <w:tcPr>
            <w:tcW w:w="1416" w:type="dxa"/>
            <w:vAlign w:val="center"/>
          </w:tcPr>
          <w:p>
            <w:pPr>
              <w:spacing w:line="360" w:lineRule="auto"/>
              <w:jc w:val="center"/>
              <w:rPr>
                <w:rFonts w:ascii="宋体" w:hAnsi="宋体" w:cs="宋体"/>
                <w:sz w:val="24"/>
                <w:highlight w:val="none"/>
              </w:rPr>
            </w:pPr>
          </w:p>
        </w:tc>
        <w:tc>
          <w:tcPr>
            <w:tcW w:w="14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员工总人数</w:t>
            </w:r>
          </w:p>
        </w:tc>
        <w:tc>
          <w:tcPr>
            <w:tcW w:w="1418" w:type="dxa"/>
            <w:vAlign w:val="center"/>
          </w:tcPr>
          <w:p>
            <w:pPr>
              <w:spacing w:line="360" w:lineRule="auto"/>
              <w:jc w:val="center"/>
              <w:rPr>
                <w:rFonts w:ascii="宋体" w:hAnsi="宋体" w:cs="宋体"/>
                <w:sz w:val="24"/>
                <w:highlight w:val="none"/>
              </w:rPr>
            </w:pPr>
          </w:p>
        </w:tc>
        <w:tc>
          <w:tcPr>
            <w:tcW w:w="138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企业类型</w:t>
            </w:r>
          </w:p>
        </w:tc>
        <w:tc>
          <w:tcPr>
            <w:tcW w:w="1382" w:type="dxa"/>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法定代表人</w:t>
            </w:r>
          </w:p>
          <w:p>
            <w:pPr>
              <w:spacing w:line="360" w:lineRule="auto"/>
              <w:jc w:val="center"/>
              <w:rPr>
                <w:rFonts w:ascii="宋体" w:hAnsi="宋体" w:cs="宋体"/>
                <w:sz w:val="24"/>
                <w:highlight w:val="none"/>
              </w:rPr>
            </w:pPr>
            <w:r>
              <w:rPr>
                <w:rFonts w:hint="eastAsia" w:ascii="宋体" w:hAnsi="宋体" w:cs="宋体"/>
                <w:sz w:val="24"/>
                <w:highlight w:val="none"/>
              </w:rPr>
              <w:t>（单位负责人）</w:t>
            </w:r>
          </w:p>
        </w:tc>
        <w:tc>
          <w:tcPr>
            <w:tcW w:w="1416"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1419" w:type="dxa"/>
            <w:vMerge w:val="restart"/>
            <w:vAlign w:val="center"/>
          </w:tcPr>
          <w:p>
            <w:pPr>
              <w:spacing w:line="360" w:lineRule="auto"/>
              <w:jc w:val="center"/>
              <w:rPr>
                <w:rFonts w:ascii="宋体" w:hAnsi="宋体" w:cs="宋体"/>
                <w:sz w:val="24"/>
                <w:highlight w:val="none"/>
              </w:rPr>
            </w:pPr>
          </w:p>
        </w:tc>
        <w:tc>
          <w:tcPr>
            <w:tcW w:w="1418"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138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手机</w:t>
            </w:r>
          </w:p>
        </w:tc>
        <w:tc>
          <w:tcPr>
            <w:tcW w:w="1382" w:type="dxa"/>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Merge w:val="continue"/>
            <w:vAlign w:val="center"/>
          </w:tcPr>
          <w:p>
            <w:pPr>
              <w:spacing w:line="360" w:lineRule="auto"/>
              <w:jc w:val="center"/>
              <w:rPr>
                <w:rFonts w:ascii="宋体" w:hAnsi="宋体" w:cs="宋体"/>
                <w:sz w:val="24"/>
                <w:highlight w:val="none"/>
              </w:rPr>
            </w:pPr>
          </w:p>
        </w:tc>
        <w:tc>
          <w:tcPr>
            <w:tcW w:w="1416" w:type="dxa"/>
            <w:vMerge w:val="continue"/>
            <w:vAlign w:val="center"/>
          </w:tcPr>
          <w:p>
            <w:pPr>
              <w:spacing w:line="360" w:lineRule="auto"/>
              <w:jc w:val="center"/>
              <w:rPr>
                <w:rFonts w:ascii="宋体" w:hAnsi="宋体" w:cs="宋体"/>
                <w:sz w:val="24"/>
                <w:highlight w:val="none"/>
              </w:rPr>
            </w:pPr>
          </w:p>
        </w:tc>
        <w:tc>
          <w:tcPr>
            <w:tcW w:w="1419" w:type="dxa"/>
            <w:vMerge w:val="continue"/>
            <w:vAlign w:val="center"/>
          </w:tcPr>
          <w:p>
            <w:pPr>
              <w:spacing w:line="360" w:lineRule="auto"/>
              <w:jc w:val="center"/>
              <w:rPr>
                <w:rFonts w:ascii="宋体" w:hAnsi="宋体" w:cs="宋体"/>
                <w:sz w:val="24"/>
                <w:highlight w:val="none"/>
              </w:rPr>
            </w:pPr>
          </w:p>
        </w:tc>
        <w:tc>
          <w:tcPr>
            <w:tcW w:w="1418" w:type="dxa"/>
            <w:vMerge w:val="continue"/>
            <w:vAlign w:val="center"/>
          </w:tcPr>
          <w:p>
            <w:pPr>
              <w:spacing w:line="360" w:lineRule="auto"/>
              <w:jc w:val="center"/>
              <w:rPr>
                <w:rFonts w:ascii="宋体" w:hAnsi="宋体" w:cs="宋体"/>
                <w:sz w:val="24"/>
                <w:highlight w:val="none"/>
              </w:rPr>
            </w:pPr>
          </w:p>
        </w:tc>
        <w:tc>
          <w:tcPr>
            <w:tcW w:w="138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办公</w:t>
            </w:r>
          </w:p>
        </w:tc>
        <w:tc>
          <w:tcPr>
            <w:tcW w:w="1382" w:type="dxa"/>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联系方式</w:t>
            </w:r>
          </w:p>
        </w:tc>
        <w:tc>
          <w:tcPr>
            <w:tcW w:w="1416"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1419" w:type="dxa"/>
            <w:vMerge w:val="restart"/>
            <w:vAlign w:val="center"/>
          </w:tcPr>
          <w:p>
            <w:pPr>
              <w:spacing w:line="360" w:lineRule="auto"/>
              <w:jc w:val="center"/>
              <w:rPr>
                <w:rFonts w:ascii="宋体" w:hAnsi="宋体" w:cs="宋体"/>
                <w:sz w:val="24"/>
                <w:highlight w:val="none"/>
              </w:rPr>
            </w:pPr>
          </w:p>
        </w:tc>
        <w:tc>
          <w:tcPr>
            <w:tcW w:w="14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2763" w:type="dxa"/>
            <w:gridSpan w:val="2"/>
            <w:vAlign w:val="center"/>
          </w:tcPr>
          <w:p>
            <w:pPr>
              <w:spacing w:line="360" w:lineRule="auto"/>
              <w:jc w:val="center"/>
              <w:rPr>
                <w:rFonts w:ascii="宋体" w:hAnsi="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984" w:type="dxa"/>
            <w:vMerge w:val="continue"/>
            <w:vAlign w:val="center"/>
          </w:tcPr>
          <w:p>
            <w:pPr>
              <w:spacing w:line="360" w:lineRule="auto"/>
              <w:jc w:val="center"/>
              <w:rPr>
                <w:rFonts w:ascii="宋体" w:hAnsi="宋体" w:cs="宋体"/>
                <w:sz w:val="24"/>
                <w:highlight w:val="none"/>
              </w:rPr>
            </w:pPr>
          </w:p>
        </w:tc>
        <w:tc>
          <w:tcPr>
            <w:tcW w:w="1416" w:type="dxa"/>
            <w:vMerge w:val="continue"/>
            <w:vAlign w:val="center"/>
          </w:tcPr>
          <w:p>
            <w:pPr>
              <w:spacing w:line="360" w:lineRule="auto"/>
              <w:jc w:val="center"/>
              <w:rPr>
                <w:rFonts w:ascii="宋体" w:hAnsi="宋体" w:cs="宋体"/>
                <w:sz w:val="24"/>
                <w:highlight w:val="none"/>
              </w:rPr>
            </w:pPr>
          </w:p>
        </w:tc>
        <w:tc>
          <w:tcPr>
            <w:tcW w:w="1419" w:type="dxa"/>
            <w:vMerge w:val="continue"/>
            <w:vAlign w:val="center"/>
          </w:tcPr>
          <w:p>
            <w:pPr>
              <w:spacing w:line="360" w:lineRule="auto"/>
              <w:jc w:val="center"/>
              <w:rPr>
                <w:rFonts w:ascii="宋体" w:hAnsi="宋体" w:cs="宋体"/>
                <w:sz w:val="24"/>
                <w:highlight w:val="none"/>
              </w:rPr>
            </w:pPr>
          </w:p>
        </w:tc>
        <w:tc>
          <w:tcPr>
            <w:tcW w:w="14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邮箱</w:t>
            </w:r>
          </w:p>
        </w:tc>
        <w:tc>
          <w:tcPr>
            <w:tcW w:w="2763" w:type="dxa"/>
            <w:gridSpan w:val="2"/>
            <w:vAlign w:val="center"/>
          </w:tcPr>
          <w:p>
            <w:pPr>
              <w:spacing w:line="360" w:lineRule="auto"/>
              <w:jc w:val="center"/>
              <w:rPr>
                <w:rFonts w:ascii="宋体" w:hAnsi="宋体" w:cs="宋体"/>
                <w:sz w:val="24"/>
                <w:highlight w:val="none"/>
              </w:rPr>
            </w:pPr>
          </w:p>
        </w:tc>
      </w:tr>
    </w:tbl>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说明：企业类型指大型、中型、小型、微型；上年营业收入、资产总额应与财务报表中的数据一致， 金额单位为万元。</w:t>
      </w:r>
    </w:p>
    <w:p>
      <w:pPr>
        <w:tabs>
          <w:tab w:val="left" w:pos="7665"/>
        </w:tabs>
        <w:spacing w:line="360" w:lineRule="auto"/>
        <w:ind w:firstLine="480" w:firstLineChars="200"/>
        <w:jc w:val="right"/>
        <w:rPr>
          <w:rFonts w:ascii="宋体" w:hAnsi="宋体" w:cs="宋体"/>
          <w:sz w:val="24"/>
          <w:highlight w:val="none"/>
        </w:rPr>
      </w:pPr>
    </w:p>
    <w:p>
      <w:pPr>
        <w:tabs>
          <w:tab w:val="left" w:pos="7665"/>
        </w:tabs>
        <w:spacing w:line="360" w:lineRule="auto"/>
        <w:rPr>
          <w:rFonts w:ascii="宋体" w:hAnsi="宋体" w:cs="宋体"/>
          <w:sz w:val="24"/>
          <w:highlight w:val="none"/>
        </w:rPr>
      </w:pPr>
    </w:p>
    <w:p>
      <w:pPr>
        <w:pStyle w:val="13"/>
        <w:rPr>
          <w:rFonts w:hAnsi="宋体" w:cs="宋体"/>
          <w:sz w:val="24"/>
          <w:highlight w:val="none"/>
        </w:rPr>
      </w:pPr>
    </w:p>
    <w:p>
      <w:pPr>
        <w:pStyle w:val="13"/>
        <w:rPr>
          <w:rFonts w:hAnsi="宋体" w:cs="宋体"/>
          <w:sz w:val="24"/>
          <w:highlight w:val="none"/>
        </w:rPr>
      </w:pPr>
    </w:p>
    <w:p>
      <w:pPr>
        <w:tabs>
          <w:tab w:val="left" w:pos="720"/>
          <w:tab w:val="left" w:pos="8364"/>
        </w:tabs>
        <w:adjustRightInd w:val="0"/>
        <w:snapToGrid w:val="0"/>
        <w:spacing w:line="360" w:lineRule="auto"/>
        <w:ind w:firstLine="422" w:firstLineChars="200"/>
        <w:jc w:val="center"/>
        <w:rPr>
          <w:rFonts w:ascii="宋体" w:hAnsi="宋体" w:cs="宋体"/>
          <w:b/>
          <w:bCs/>
          <w:szCs w:val="21"/>
          <w:highlight w:val="none"/>
        </w:rPr>
      </w:pPr>
      <w:bookmarkStart w:id="118" w:name="_Toc1954_WPSOffice_Level2"/>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jc w:val="right"/>
        <w:rPr>
          <w:rFonts w:ascii="宋体" w:hAnsi="宋体" w:cs="宋体"/>
          <w:b/>
          <w:sz w:val="30"/>
          <w:szCs w:val="30"/>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7665"/>
        </w:tabs>
        <w:spacing w:line="360" w:lineRule="auto"/>
        <w:rPr>
          <w:rFonts w:ascii="宋体" w:hAnsi="宋体" w:cs="宋体"/>
          <w:b/>
          <w:bCs/>
          <w:sz w:val="24"/>
          <w:highlight w:val="none"/>
        </w:rPr>
      </w:pPr>
    </w:p>
    <w:p>
      <w:pPr>
        <w:tabs>
          <w:tab w:val="left" w:pos="7665"/>
        </w:tabs>
        <w:spacing w:line="360" w:lineRule="auto"/>
        <w:rPr>
          <w:rFonts w:ascii="宋体" w:hAnsi="宋体" w:cs="宋体"/>
          <w:b/>
          <w:bCs/>
          <w:sz w:val="24"/>
          <w:highlight w:val="none"/>
        </w:rPr>
        <w:sectPr>
          <w:footerReference r:id="rId10" w:type="first"/>
          <w:footerReference r:id="rId9" w:type="default"/>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r>
        <w:rPr>
          <w:rFonts w:hint="eastAsia" w:ascii="宋体" w:hAnsi="宋体" w:cs="宋体"/>
          <w:b/>
          <w:bCs/>
          <w:sz w:val="24"/>
          <w:highlight w:val="none"/>
        </w:rPr>
        <w:t>2.法定代表人（单位负责人）身份证明</w:t>
      </w:r>
      <w:bookmarkEnd w:id="118"/>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投标供应商名称：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统一社会信用代码：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姓名：       性别：   年龄：   职务：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（投标供应商名称）的法定代表人（单位负责人）。</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附：法定代表人身份证复印件（正反面）</w:t>
      </w:r>
    </w:p>
    <w:p>
      <w:pPr>
        <w:tabs>
          <w:tab w:val="left" w:pos="7665"/>
        </w:tabs>
        <w:spacing w:line="360" w:lineRule="auto"/>
        <w:ind w:firstLine="480" w:firstLineChars="200"/>
        <w:rPr>
          <w:rFonts w:ascii="宋体" w:hAnsi="宋体" w:cs="宋体"/>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5868" w:type="dxa"/>
            <w:vAlign w:val="center"/>
          </w:tcPr>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法定代表人身份证复印件粘贴处</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tc>
      </w:tr>
    </w:tbl>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20"/>
          <w:tab w:val="left" w:pos="8364"/>
        </w:tabs>
        <w:adjustRightInd w:val="0"/>
        <w:snapToGrid w:val="0"/>
        <w:spacing w:line="360" w:lineRule="auto"/>
        <w:ind w:firstLine="480" w:firstLineChars="200"/>
        <w:jc w:val="center"/>
        <w:rPr>
          <w:rFonts w:ascii="宋体" w:hAnsi="宋体" w:cs="宋体"/>
          <w:b/>
          <w:bCs/>
          <w:szCs w:val="21"/>
          <w:highlight w:val="none"/>
        </w:rPr>
      </w:pPr>
      <w:r>
        <w:rPr>
          <w:rFonts w:hint="eastAsia" w:ascii="宋体" w:hAnsi="宋体" w:cs="宋体"/>
          <w:sz w:val="24"/>
          <w:highlight w:val="none"/>
        </w:rPr>
        <w:t xml:space="preserve">     </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jc w:val="right"/>
        <w:rPr>
          <w:rFonts w:ascii="宋体" w:hAnsi="宋体" w:cs="宋体"/>
          <w:sz w:val="24"/>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说明：仅限法定代表人（单位负责人）参加投标时提供</w:t>
      </w: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19" w:name="_Toc27507_WPSOffice_Level2"/>
      <w:r>
        <w:rPr>
          <w:rFonts w:hint="eastAsia" w:ascii="宋体" w:hAnsi="宋体" w:cs="宋体"/>
          <w:b/>
          <w:bCs/>
          <w:sz w:val="24"/>
          <w:highlight w:val="none"/>
        </w:rPr>
        <w:t>3.法定代表人授权书</w:t>
      </w:r>
      <w:bookmarkEnd w:id="119"/>
    </w:p>
    <w:p>
      <w:pPr>
        <w:tabs>
          <w:tab w:val="left" w:pos="7665"/>
        </w:tabs>
        <w:spacing w:line="360" w:lineRule="auto"/>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本人</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（姓名）系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w:t>
      </w:r>
      <w:r>
        <w:rPr>
          <w:rFonts w:hint="eastAsia" w:ascii="宋体" w:hAnsi="宋体" w:cs="宋体"/>
          <w:sz w:val="24"/>
          <w:highlight w:val="none"/>
        </w:rPr>
        <w:t>投标供应商</w:t>
      </w:r>
      <w:r>
        <w:rPr>
          <w:rFonts w:hint="eastAsia" w:ascii="宋体" w:hAnsi="宋体" w:cs="宋体"/>
          <w:sz w:val="24"/>
          <w:highlight w:val="none"/>
          <w:lang w:val="zh-CN"/>
        </w:rPr>
        <w:t xml:space="preserve">名称）的法定代表人（单位负责人），现委托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（被委托人姓名）为我方代理人。代理人根据授权，以我方的名义签署、澄清确认、递交、撤回、修改</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（采购项目）投标文件、签订合同和全权处理一切与之有关的事宜，</w:t>
      </w:r>
      <w:r>
        <w:rPr>
          <w:rFonts w:hint="eastAsia" w:ascii="宋体" w:hAnsi="宋体" w:cs="宋体"/>
          <w:sz w:val="24"/>
          <w:highlight w:val="none"/>
        </w:rPr>
        <w:t>其法律后果由我方承担。</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委托期限</w:t>
      </w:r>
      <w:r>
        <w:rPr>
          <w:rFonts w:hint="eastAsia" w:ascii="宋体" w:hAnsi="宋体" w:cs="宋体"/>
          <w:sz w:val="24"/>
          <w:highlight w:val="none"/>
        </w:rPr>
        <w:t>：</w:t>
      </w:r>
      <w:r>
        <w:rPr>
          <w:rFonts w:hint="eastAsia" w:ascii="宋体" w:hAnsi="宋体" w:cs="宋体"/>
          <w:sz w:val="24"/>
          <w:highlight w:val="none"/>
          <w:lang w:val="zh-CN"/>
        </w:rPr>
        <w:t>本授权委托书有效期自开标之日起90日历天。</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附：法定代表人（单位负责人）身份证复印件</w:t>
      </w:r>
      <w:r>
        <w:rPr>
          <w:rFonts w:hint="eastAsia" w:ascii="宋体" w:hAnsi="宋体" w:cs="宋体"/>
          <w:sz w:val="24"/>
          <w:highlight w:val="none"/>
        </w:rPr>
        <w:t>、</w:t>
      </w:r>
      <w:r>
        <w:rPr>
          <w:rFonts w:hint="eastAsia" w:ascii="宋体" w:hAnsi="宋体" w:cs="宋体"/>
          <w:sz w:val="24"/>
          <w:highlight w:val="none"/>
          <w:lang w:val="zh-CN"/>
        </w:rPr>
        <w:t>委托代理人身份证复印件（正反面）</w:t>
      </w:r>
    </w:p>
    <w:tbl>
      <w:tblPr>
        <w:tblStyle w:val="23"/>
        <w:tblW w:w="0" w:type="auto"/>
        <w:tblInd w:w="539"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259"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zh-CN"/>
              </w:rPr>
              <w:t>委托代理人身份证复印件</w:t>
            </w:r>
          </w:p>
        </w:tc>
      </w:tr>
    </w:tbl>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投标供应商名称：                      （盖单位章）</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法定代表人（单位负责人）</w:t>
      </w:r>
      <w:r>
        <w:rPr>
          <w:rFonts w:hint="eastAsia" w:ascii="宋体" w:hAnsi="宋体" w:cs="宋体"/>
          <w:sz w:val="24"/>
          <w:highlight w:val="none"/>
          <w:lang w:eastAsia="zh-CN"/>
        </w:rPr>
        <w:t>：</w:t>
      </w:r>
      <w:r>
        <w:rPr>
          <w:rFonts w:hint="eastAsia" w:ascii="宋体" w:hAnsi="宋体" w:cs="宋体"/>
          <w:sz w:val="24"/>
          <w:highlight w:val="none"/>
        </w:rPr>
        <w:t xml:space="preserve">             （签字或盖章）</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身 份 证 号：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（签字）</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身 份 证 号：                         </w:t>
      </w:r>
    </w:p>
    <w:p>
      <w:pPr>
        <w:tabs>
          <w:tab w:val="left" w:pos="7665"/>
        </w:tabs>
        <w:spacing w:line="360" w:lineRule="auto"/>
        <w:ind w:firstLine="480" w:firstLineChars="200"/>
        <w:jc w:val="right"/>
        <w:rPr>
          <w:rFonts w:ascii="宋体" w:hAnsi="宋体" w:cs="宋体"/>
          <w:sz w:val="24"/>
          <w:highlight w:val="none"/>
          <w:lang w:val="zh-CN"/>
        </w:rPr>
      </w:pPr>
      <w:r>
        <w:rPr>
          <w:rFonts w:hint="eastAsia" w:ascii="宋体" w:hAnsi="宋体" w:cs="宋体"/>
          <w:sz w:val="24"/>
          <w:highlight w:val="none"/>
        </w:rPr>
        <w:t>授权委托日期：  20     年   月   日</w:t>
      </w:r>
    </w:p>
    <w:p>
      <w:pPr>
        <w:tabs>
          <w:tab w:val="left" w:pos="7665"/>
        </w:tabs>
        <w:spacing w:line="360" w:lineRule="auto"/>
        <w:ind w:firstLine="480" w:firstLineChars="200"/>
        <w:rPr>
          <w:rFonts w:ascii="宋体" w:hAnsi="宋体" w:cs="宋体"/>
          <w:sz w:val="24"/>
          <w:highlight w:val="none"/>
          <w:lang w:val="zh-CN"/>
        </w:rPr>
      </w:pPr>
    </w:p>
    <w:p>
      <w:pPr>
        <w:tabs>
          <w:tab w:val="left" w:pos="7665"/>
        </w:tabs>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说明：仅限委托代理人参加投标时提供。</w:t>
      </w:r>
    </w:p>
    <w:p>
      <w:pPr>
        <w:tabs>
          <w:tab w:val="left" w:pos="7665"/>
        </w:tabs>
        <w:spacing w:line="360" w:lineRule="auto"/>
        <w:ind w:firstLine="480" w:firstLineChars="200"/>
        <w:rPr>
          <w:rFonts w:ascii="宋体" w:hAnsi="宋体" w:cs="宋体"/>
          <w:sz w:val="24"/>
          <w:highlight w:val="none"/>
        </w:rPr>
        <w:sectPr>
          <w:footerReference r:id="rId12" w:type="first"/>
          <w:footerReference r:id="rId11" w:type="default"/>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20" w:name="_Toc10993_WPSOffice_Level2"/>
      <w:r>
        <w:rPr>
          <w:rFonts w:hint="eastAsia" w:ascii="宋体" w:hAnsi="宋体" w:cs="宋体"/>
          <w:b/>
          <w:bCs/>
          <w:sz w:val="24"/>
          <w:highlight w:val="none"/>
        </w:rPr>
        <w:t>4.</w:t>
      </w:r>
      <w:r>
        <w:rPr>
          <w:rFonts w:hint="eastAsia" w:ascii="宋体" w:hAnsi="宋体" w:cs="宋体"/>
          <w:b/>
          <w:bCs/>
          <w:sz w:val="24"/>
          <w:highlight w:val="none"/>
          <w:lang w:val="zh-CN"/>
        </w:rPr>
        <w:t>投标供应商的营业执照等证明文件，自然人的身份证明</w:t>
      </w:r>
      <w:bookmarkEnd w:id="120"/>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说明：</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提供有效存续企业营业执照副本</w:t>
      </w:r>
      <w:r>
        <w:rPr>
          <w:rFonts w:hint="eastAsia" w:ascii="宋体" w:hAnsi="宋体" w:cs="宋体"/>
          <w:sz w:val="24"/>
          <w:highlight w:val="none"/>
        </w:rPr>
        <w:t>；</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（2）事业单位投标提供有效的法人证书；</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（3）其他组织投标提供有效的登记证书；</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（4）自然人投标提供有效的身份证复印件；</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（5）以上（1）</w:t>
      </w:r>
      <w:r>
        <w:rPr>
          <w:rFonts w:hint="eastAsia" w:ascii="宋体" w:hAnsi="宋体" w:cs="宋体"/>
          <w:sz w:val="24"/>
          <w:highlight w:val="none"/>
          <w:lang w:eastAsia="zh-CN"/>
        </w:rPr>
        <w:t>－</w:t>
      </w:r>
      <w:r>
        <w:rPr>
          <w:rFonts w:hint="eastAsia" w:ascii="宋体" w:hAnsi="宋体" w:cs="宋体"/>
          <w:sz w:val="24"/>
          <w:highlight w:val="none"/>
        </w:rPr>
        <w:t>（3）项为正本或副本复印件，须加盖投标供应商单位章。</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21" w:name="_Toc148_WPSOffice_Level2"/>
      <w:r>
        <w:rPr>
          <w:rFonts w:hint="eastAsia" w:ascii="宋体" w:hAnsi="宋体" w:cs="宋体"/>
          <w:b/>
          <w:bCs/>
          <w:sz w:val="24"/>
          <w:highlight w:val="none"/>
        </w:rPr>
        <w:t>5.财务状况报告</w:t>
      </w:r>
      <w:bookmarkEnd w:id="121"/>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说明：</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提供2019、2020年的</w:t>
      </w:r>
      <w:r>
        <w:rPr>
          <w:rFonts w:hint="eastAsia" w:ascii="宋体" w:hAnsi="宋体" w:cs="宋体"/>
          <w:sz w:val="24"/>
          <w:highlight w:val="none"/>
          <w:lang w:eastAsia="zh-CN"/>
        </w:rPr>
        <w:t>经审计的财务审计报告</w:t>
      </w:r>
      <w:r>
        <w:rPr>
          <w:rFonts w:hint="eastAsia" w:ascii="宋体" w:hAnsi="宋体" w:cs="宋体"/>
          <w:sz w:val="24"/>
          <w:highlight w:val="none"/>
        </w:rPr>
        <w:t>（成立时间至提交投标文件截止时间不足年的可提供成立后任意时段的资产负债表）或开标前3个月内其基本开户银行出具的资信证明。</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22" w:name="_Toc1152_WPSOffice_Level2"/>
      <w:r>
        <w:rPr>
          <w:rFonts w:hint="eastAsia" w:ascii="宋体" w:hAnsi="宋体" w:cs="宋体"/>
          <w:b/>
          <w:bCs/>
          <w:sz w:val="24"/>
          <w:highlight w:val="none"/>
        </w:rPr>
        <w:t>6.税收缴纳证明</w:t>
      </w:r>
      <w:bookmarkEnd w:id="122"/>
    </w:p>
    <w:p>
      <w:pPr>
        <w:tabs>
          <w:tab w:val="left" w:pos="7665"/>
        </w:tabs>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说明：</w:t>
      </w:r>
    </w:p>
    <w:p>
      <w:pPr>
        <w:tabs>
          <w:tab w:val="left" w:pos="7665"/>
        </w:tabs>
        <w:spacing w:line="360" w:lineRule="auto"/>
        <w:rPr>
          <w:rFonts w:ascii="宋体" w:hAnsi="宋体" w:cs="宋体"/>
          <w:sz w:val="24"/>
          <w:highlight w:val="none"/>
        </w:rPr>
      </w:pPr>
      <w:r>
        <w:rPr>
          <w:rFonts w:hint="eastAsia" w:ascii="宋体" w:hAnsi="宋体" w:cs="宋体"/>
          <w:sz w:val="24"/>
          <w:highlight w:val="none"/>
        </w:rPr>
        <w:t>提供2020年至今已缴纳连续3个月的纳税证明或完税证明（纳税证明或完税证明上应有代收机构或税务机关的公章或业务章，成立时间至提交投标文件截止时间不足年的可提供成立后任意时段的税收证明），依法免税的单位应提供相关证明材料。</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23" w:name="_Toc26289_WPSOffice_Level2"/>
      <w:r>
        <w:rPr>
          <w:rFonts w:hint="eastAsia" w:ascii="宋体" w:hAnsi="宋体" w:cs="宋体"/>
          <w:b/>
          <w:bCs/>
          <w:sz w:val="24"/>
          <w:highlight w:val="none"/>
        </w:rPr>
        <w:t>7.缴纳社会保障资金证明</w:t>
      </w:r>
      <w:bookmarkEnd w:id="123"/>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说明：</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提供2020年至今已缴纳连续3个月的社会保障资金缴存单据或社保机构开具的社会保险参保缴费情况证明，依法不需要缴纳社会保障资金的单位应提供相关证明材料。</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sz w:val="24"/>
          <w:highlight w:val="none"/>
        </w:rPr>
      </w:pPr>
      <w:bookmarkStart w:id="124" w:name="_Toc3990_WPSOffice_Level2"/>
      <w:r>
        <w:rPr>
          <w:rFonts w:hint="eastAsia" w:ascii="宋体" w:hAnsi="宋体" w:cs="宋体"/>
          <w:highlight w:val="none"/>
        </w:rPr>
        <w:t xml:space="preserve"> </w:t>
      </w:r>
      <w:bookmarkStart w:id="125" w:name="_Toc11170_WPSOffice_Level2"/>
      <w:r>
        <w:rPr>
          <w:rFonts w:hint="eastAsia" w:ascii="宋体" w:hAnsi="宋体" w:cs="宋体"/>
          <w:b/>
          <w:bCs/>
          <w:sz w:val="24"/>
          <w:highlight w:val="none"/>
        </w:rPr>
        <w:t>8.</w:t>
      </w:r>
      <w:bookmarkEnd w:id="125"/>
      <w:r>
        <w:rPr>
          <w:rFonts w:hint="eastAsia" w:ascii="宋体" w:hAnsi="宋体" w:cs="宋体"/>
          <w:sz w:val="24"/>
          <w:highlight w:val="none"/>
        </w:rPr>
        <w:t xml:space="preserve"> </w:t>
      </w:r>
      <w:bookmarkStart w:id="126" w:name="_Toc2406"/>
      <w:r>
        <w:rPr>
          <w:rFonts w:hint="eastAsia" w:ascii="宋体" w:hAnsi="宋体" w:cs="宋体"/>
          <w:b/>
          <w:bCs/>
          <w:sz w:val="24"/>
          <w:highlight w:val="none"/>
        </w:rPr>
        <w:t>参加本次政府采购活动前三年内，在经营活动中没有重大违法记录的书面声明</w:t>
      </w:r>
      <w:bookmarkEnd w:id="126"/>
    </w:p>
    <w:p>
      <w:pPr>
        <w:tabs>
          <w:tab w:val="left" w:pos="7665"/>
        </w:tabs>
        <w:spacing w:line="360" w:lineRule="auto"/>
        <w:rPr>
          <w:rFonts w:ascii="宋体" w:hAnsi="宋体" w:cs="宋体"/>
          <w:b/>
          <w:bCs/>
          <w:sz w:val="24"/>
          <w:highlight w:val="none"/>
        </w:rPr>
      </w:pPr>
    </w:p>
    <w:p>
      <w:pPr>
        <w:pStyle w:val="13"/>
        <w:rPr>
          <w:rFonts w:hAnsi="宋体" w:cs="宋体"/>
          <w:highlight w:val="none"/>
        </w:rPr>
      </w:pP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本单位郑重声明：</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我单位在参加采购活动前三年内在经营活动中没有《政府采购法》第二十二条第一款第</w:t>
      </w:r>
      <w:r>
        <w:rPr>
          <w:rFonts w:hint="eastAsia" w:ascii="宋体" w:hAnsi="宋体" w:cs="宋体"/>
          <w:spacing w:val="4"/>
          <w:szCs w:val="21"/>
          <w:highlight w:val="none"/>
          <w:lang w:eastAsia="zh-CN"/>
        </w:rPr>
        <w:t>（</w:t>
      </w:r>
      <w:r>
        <w:rPr>
          <w:rFonts w:hint="eastAsia" w:ascii="宋体" w:hAnsi="宋体" w:cs="宋体"/>
          <w:spacing w:val="4"/>
          <w:szCs w:val="21"/>
          <w:highlight w:val="none"/>
        </w:rPr>
        <w:t>五</w:t>
      </w:r>
      <w:r>
        <w:rPr>
          <w:rFonts w:hint="eastAsia" w:ascii="宋体" w:hAnsi="宋体" w:cs="宋体"/>
          <w:spacing w:val="4"/>
          <w:szCs w:val="21"/>
          <w:highlight w:val="none"/>
          <w:lang w:eastAsia="zh-CN"/>
        </w:rPr>
        <w:t>）</w:t>
      </w:r>
      <w:r>
        <w:rPr>
          <w:rFonts w:hint="eastAsia" w:ascii="宋体" w:hAnsi="宋体" w:cs="宋体"/>
          <w:spacing w:val="4"/>
          <w:szCs w:val="21"/>
          <w:highlight w:val="none"/>
        </w:rPr>
        <w:t>项所称重大违法记录，包括：</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我单位或者其法定代表人、董事、监事、高级管理人员未因经营活动中的违法行为受到刑事处罚或者责令停产停业、吊销许可证或者执照、较大数额罚款等行政处罚。</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我单位无以下不良信用记录情形：</w:t>
      </w:r>
    </w:p>
    <w:p>
      <w:pPr>
        <w:autoSpaceDE w:val="0"/>
        <w:autoSpaceDN w:val="0"/>
        <w:adjustRightInd w:val="0"/>
        <w:snapToGrid w:val="0"/>
        <w:spacing w:line="360" w:lineRule="auto"/>
        <w:ind w:firstLine="436" w:firstLineChars="200"/>
        <w:rPr>
          <w:rFonts w:ascii="宋体" w:hAnsi="宋体" w:cs="宋体"/>
          <w:spacing w:val="4"/>
          <w:szCs w:val="21"/>
          <w:highlight w:val="none"/>
          <w:u w:val="single"/>
        </w:rPr>
      </w:pPr>
      <w:r>
        <w:rPr>
          <w:rFonts w:hint="eastAsia" w:ascii="宋体" w:hAnsi="宋体" w:cs="宋体"/>
          <w:spacing w:val="4"/>
          <w:szCs w:val="21"/>
          <w:highlight w:val="none"/>
        </w:rPr>
        <w:t>1、我方______（填“未被列入”或“被列入”）失信被执行人名单。</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2、我方______（填“未被列入”或“被列入”）重大税收违法案件当事人名单。</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3、我方______（填“未被列入”或“被列入”）政府采购严重违法失信行为记录名单。</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我单位已就上述不良信用行为按照招标文件中投标人须知前附表规定进行了查询。我单位承诺：合同签订前，若我单位具有不良信用记录情形，贵方可取消我单位中标资格或者不授予合同，所有责任由我单位自行承担。同时，我单位愿意无条件接受监管部门的调查处理。</w:t>
      </w:r>
    </w:p>
    <w:p>
      <w:pPr>
        <w:autoSpaceDE w:val="0"/>
        <w:autoSpaceDN w:val="0"/>
        <w:adjustRightInd w:val="0"/>
        <w:snapToGrid w:val="0"/>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特此声明！</w:t>
      </w:r>
    </w:p>
    <w:p>
      <w:pPr>
        <w:tabs>
          <w:tab w:val="left" w:pos="720"/>
          <w:tab w:val="left" w:pos="8364"/>
        </w:tabs>
        <w:adjustRightInd w:val="0"/>
        <w:snapToGrid w:val="0"/>
        <w:spacing w:line="360" w:lineRule="auto"/>
        <w:rPr>
          <w:rFonts w:ascii="宋体" w:hAnsi="宋体" w:cs="宋体"/>
          <w:b/>
          <w:bCs/>
          <w:szCs w:val="21"/>
          <w:highlight w:val="none"/>
        </w:rPr>
      </w:pPr>
    </w:p>
    <w:p>
      <w:pPr>
        <w:tabs>
          <w:tab w:val="left" w:pos="720"/>
          <w:tab w:val="left" w:pos="8364"/>
        </w:tabs>
        <w:adjustRightInd w:val="0"/>
        <w:snapToGrid w:val="0"/>
        <w:spacing w:line="360" w:lineRule="auto"/>
        <w:ind w:firstLine="422" w:firstLineChars="200"/>
        <w:jc w:val="center"/>
        <w:rPr>
          <w:rFonts w:ascii="宋体" w:hAnsi="宋体" w:cs="宋体"/>
          <w:b/>
          <w:bCs/>
          <w:szCs w:val="21"/>
          <w:highlight w:val="none"/>
        </w:rPr>
      </w:pP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jc w:val="right"/>
        <w:rPr>
          <w:rFonts w:ascii="宋体" w:hAnsi="宋体" w:cs="宋体"/>
          <w:b/>
          <w:sz w:val="30"/>
          <w:szCs w:val="30"/>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7665"/>
        </w:tabs>
        <w:spacing w:line="360" w:lineRule="auto"/>
        <w:rPr>
          <w:rFonts w:ascii="宋体" w:hAnsi="宋体" w:cs="宋体"/>
          <w:b/>
          <w:bCs/>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highlight w:val="none"/>
        </w:rPr>
      </w:pPr>
      <w:r>
        <w:rPr>
          <w:rFonts w:hint="eastAsia" w:ascii="宋体" w:hAnsi="宋体" w:cs="宋体"/>
          <w:b/>
          <w:bCs/>
          <w:sz w:val="24"/>
          <w:highlight w:val="none"/>
        </w:rPr>
        <w:t>9.</w:t>
      </w:r>
      <w:bookmarkEnd w:id="124"/>
      <w:r>
        <w:rPr>
          <w:rFonts w:hint="eastAsia" w:ascii="宋体" w:hAnsi="宋体" w:cs="宋体"/>
          <w:b/>
          <w:bCs/>
          <w:sz w:val="24"/>
          <w:highlight w:val="none"/>
        </w:rPr>
        <w:t>其他需要补充的资料</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27" w:name="_Toc7962_WPSOffice_Level2"/>
      <w:r>
        <w:rPr>
          <w:rFonts w:hint="eastAsia" w:ascii="宋体" w:hAnsi="宋体" w:cs="宋体"/>
          <w:b/>
          <w:bCs/>
          <w:sz w:val="24"/>
          <w:highlight w:val="none"/>
        </w:rPr>
        <w:t>10.投标保证金</w:t>
      </w:r>
      <w:bookmarkEnd w:id="127"/>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jc w:val="center"/>
        <w:rPr>
          <w:rFonts w:ascii="宋体" w:hAnsi="宋体" w:cs="宋体"/>
          <w:sz w:val="24"/>
          <w:highlight w:val="none"/>
        </w:rPr>
      </w:pPr>
    </w:p>
    <w:p>
      <w:pPr>
        <w:tabs>
          <w:tab w:val="left" w:pos="7665"/>
        </w:tabs>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投标保证金转账凭证</w:t>
      </w:r>
    </w:p>
    <w:p>
      <w:pPr>
        <w:tabs>
          <w:tab w:val="left" w:pos="7665"/>
        </w:tabs>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粘贴处</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若采用投标担保函，格式如下：</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2" w:firstLineChars="200"/>
        <w:jc w:val="center"/>
        <w:rPr>
          <w:rFonts w:ascii="宋体" w:hAnsi="宋体" w:cs="宋体"/>
          <w:sz w:val="24"/>
          <w:highlight w:val="none"/>
        </w:rPr>
      </w:pPr>
      <w:r>
        <w:rPr>
          <w:rFonts w:hint="eastAsia" w:ascii="宋体" w:hAnsi="宋体" w:cs="宋体"/>
          <w:b/>
          <w:bCs/>
          <w:sz w:val="24"/>
          <w:highlight w:val="none"/>
        </w:rPr>
        <w:t>政府采购投标担保函 （项目用）</w:t>
      </w:r>
    </w:p>
    <w:p>
      <w:pPr>
        <w:tabs>
          <w:tab w:val="left" w:pos="7665"/>
        </w:tabs>
        <w:spacing w:line="360" w:lineRule="auto"/>
        <w:ind w:firstLine="6000" w:firstLineChars="2500"/>
        <w:rPr>
          <w:rFonts w:ascii="宋体" w:hAnsi="宋体" w:cs="宋体"/>
          <w:sz w:val="24"/>
          <w:highlight w:val="none"/>
        </w:rPr>
      </w:pPr>
    </w:p>
    <w:p>
      <w:pPr>
        <w:tabs>
          <w:tab w:val="left" w:pos="7665"/>
        </w:tabs>
        <w:spacing w:line="360" w:lineRule="auto"/>
        <w:ind w:firstLine="6000" w:firstLineChars="2500"/>
        <w:rPr>
          <w:rFonts w:ascii="宋体" w:hAnsi="宋体" w:cs="宋体"/>
          <w:sz w:val="24"/>
          <w:highlight w:val="none"/>
        </w:rPr>
      </w:pPr>
      <w:r>
        <w:rPr>
          <w:rFonts w:hint="eastAsia" w:ascii="宋体" w:hAnsi="宋体" w:cs="宋体"/>
          <w:sz w:val="24"/>
          <w:highlight w:val="none"/>
        </w:rPr>
        <w:t xml:space="preserve">编号： </w:t>
      </w:r>
    </w:p>
    <w:p>
      <w:pPr>
        <w:tabs>
          <w:tab w:val="left" w:pos="7665"/>
        </w:tabs>
        <w:spacing w:line="360" w:lineRule="auto"/>
        <w:rPr>
          <w:rFonts w:ascii="宋体" w:hAnsi="宋体" w:cs="宋体"/>
          <w:sz w:val="24"/>
          <w:highlight w:val="none"/>
          <w:u w:val="singl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 xml:space="preserve">（采购人或采购代理机构）：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鉴于</w:t>
      </w:r>
      <w:r>
        <w:rPr>
          <w:rFonts w:hint="eastAsia" w:ascii="宋体" w:hAnsi="宋体" w:cs="宋体"/>
          <w:sz w:val="24"/>
          <w:highlight w:val="none"/>
          <w:u w:val="single"/>
        </w:rPr>
        <w:t xml:space="preserve">            </w:t>
      </w:r>
      <w:r>
        <w:rPr>
          <w:rFonts w:hint="eastAsia" w:ascii="宋体" w:hAnsi="宋体" w:cs="宋体"/>
          <w:sz w:val="24"/>
          <w:highlight w:val="none"/>
        </w:rPr>
        <w:t>（以下简称“投标供应商”）拟参加编号</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rPr>
        <w:t xml:space="preserve">项目（以下简称“本项目”）投标，根据本项目招标文件，供应商参加投标时应向你方交纳投标保证金，且可以投标担保函的形式交纳投标保证金。应供应商的申请，我方以保证的方式向你方提供如下投标保证金担保：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一、保证责任的情形及保证金额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（一）在投标供应商出现下列情形之一时，我方承担保证责任：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1．中标后投标供应商无正当理由不与采购人或者采购代理机构签订《政府采购合同》；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2．招标文件规定的投标供应商应当缴纳保证金的其他情形。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（二）我方承担保证责任的最高金额为人民币</w:t>
      </w:r>
      <w:r>
        <w:rPr>
          <w:rFonts w:hint="eastAsia" w:ascii="宋体" w:hAnsi="宋体" w:cs="宋体"/>
          <w:sz w:val="24"/>
          <w:highlight w:val="none"/>
          <w:u w:val="single"/>
        </w:rPr>
        <w:t xml:space="preserve">      </w:t>
      </w:r>
      <w:r>
        <w:rPr>
          <w:rFonts w:hint="eastAsia" w:ascii="宋体" w:hAnsi="宋体" w:cs="宋体"/>
          <w:sz w:val="24"/>
          <w:highlight w:val="none"/>
        </w:rPr>
        <w:t xml:space="preserve">元（大写），即本项目的投标保证金金额。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二、保证的方式及保证期间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我方保证的方式为：连带责任保证。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我方的保证期间为：自本保函生效之日起</w:t>
      </w:r>
      <w:r>
        <w:rPr>
          <w:rFonts w:hint="eastAsia" w:ascii="宋体" w:hAnsi="宋体" w:cs="宋体"/>
          <w:sz w:val="24"/>
          <w:highlight w:val="none"/>
          <w:u w:val="single"/>
        </w:rPr>
        <w:t xml:space="preserve">    </w:t>
      </w:r>
      <w:r>
        <w:rPr>
          <w:rFonts w:hint="eastAsia" w:ascii="宋体" w:hAnsi="宋体" w:cs="宋体"/>
          <w:sz w:val="24"/>
          <w:highlight w:val="none"/>
        </w:rPr>
        <w:t xml:space="preserve">个月止。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三、承担保证责任的程序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1．你方要求我方承担保证责任的，应在本保函保证期间内向我方发出书面索赔通知。索赔通知应写明要求索赔的金额，支付款项应到达的账号，并附有证明投标供应商发生我方应承担保证责任情形的事实材料。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2．我方在收到索赔通知及相关证明材料后，在</w:t>
      </w:r>
      <w:r>
        <w:rPr>
          <w:rFonts w:hint="eastAsia" w:ascii="宋体" w:hAnsi="宋体" w:cs="宋体"/>
          <w:sz w:val="24"/>
          <w:highlight w:val="none"/>
          <w:u w:val="single"/>
        </w:rPr>
        <w:t xml:space="preserve">   </w:t>
      </w:r>
      <w:r>
        <w:rPr>
          <w:rFonts w:hint="eastAsia" w:ascii="宋体" w:hAnsi="宋体" w:cs="宋体"/>
          <w:sz w:val="24"/>
          <w:highlight w:val="none"/>
        </w:rPr>
        <w:t xml:space="preserve">个工作日内进行审查，符合应承担保证责任情形的，我方应按照你方的要求代投标供应商向你方支付投标保证金。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四、保证责任的终止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1．保证期间届满你方未向我方书面主张保证责任的，自保证期间届满次日起，我方保证责任自动终止。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2．我方按照本保函向你方履行了保证责任后，自我方向你方支付款项（支付款项从我方账户划出）之日起，保证责任终止。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3．按照法律法规的规定或出现我方保证责任终止</w:t>
      </w:r>
      <w:r>
        <w:rPr>
          <w:rFonts w:hint="eastAsia" w:ascii="宋体" w:hAnsi="宋体" w:cs="宋体"/>
          <w:sz w:val="24"/>
          <w:highlight w:val="none"/>
          <w:lang w:eastAsia="zh-CN"/>
        </w:rPr>
        <w:t>的其他情形</w:t>
      </w:r>
      <w:r>
        <w:rPr>
          <w:rFonts w:hint="eastAsia" w:ascii="宋体" w:hAnsi="宋体" w:cs="宋体"/>
          <w:sz w:val="24"/>
          <w:highlight w:val="none"/>
        </w:rPr>
        <w:t xml:space="preserve">的，我方在本保函项下的保证责任亦终止。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五、免责条款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1．依照法律规定或你方与投标供应商的另行约定，全部或者部分免除投标供应商投标保证金义务时，我方亦免除相应的保证责任。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2．因你方原因致使投标供应商发生本保函第一条第（一）款约定情形的，我方不承担保证责任。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3．因不可抗力造成投标供应商发生本保函第一条约定情形的，我方不承担保证责任。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4．你方或其他有权机关对招标文件进行任何澄清或修改，加重我方保证责任的，我方对加重部分不承担保证责任，但该澄清或修改经我方事先书面同意的除外。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六、争议的解决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因本保函发生的纠纷，由你我双方协商解决，协商不成的，通过诉讼程序解决，诉讼管辖地法院为</w:t>
      </w:r>
      <w:r>
        <w:rPr>
          <w:rFonts w:hint="eastAsia" w:ascii="宋体" w:hAnsi="宋体" w:cs="宋体"/>
          <w:sz w:val="24"/>
          <w:highlight w:val="none"/>
          <w:u w:val="single"/>
        </w:rPr>
        <w:t>         </w:t>
      </w:r>
      <w:r>
        <w:rPr>
          <w:rFonts w:hint="eastAsia" w:ascii="宋体" w:hAnsi="宋体" w:cs="宋体"/>
          <w:sz w:val="24"/>
          <w:highlight w:val="none"/>
        </w:rPr>
        <w:t xml:space="preserve"> 法院。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七、保函的生效 </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本保函自我方加盖公章之日起生效。 </w:t>
      </w:r>
    </w:p>
    <w:p>
      <w:pPr>
        <w:tabs>
          <w:tab w:val="left" w:pos="7665"/>
        </w:tabs>
        <w:spacing w:line="360" w:lineRule="auto"/>
        <w:ind w:firstLine="480" w:firstLineChars="200"/>
        <w:rPr>
          <w:rFonts w:ascii="宋体" w:hAnsi="宋体" w:cs="宋体"/>
          <w:sz w:val="24"/>
          <w:highlight w:val="none"/>
        </w:rPr>
      </w:pPr>
    </w:p>
    <w:p>
      <w:pPr>
        <w:spacing w:line="360" w:lineRule="auto"/>
        <w:ind w:firstLine="5280" w:firstLineChars="2200"/>
        <w:rPr>
          <w:rFonts w:ascii="宋体" w:hAnsi="宋体" w:cs="宋体"/>
          <w:sz w:val="24"/>
          <w:highlight w:val="none"/>
        </w:rPr>
      </w:pPr>
    </w:p>
    <w:p>
      <w:pPr>
        <w:spacing w:line="360" w:lineRule="auto"/>
        <w:rPr>
          <w:rFonts w:ascii="宋体" w:hAnsi="宋体" w:cs="宋体"/>
          <w:sz w:val="24"/>
          <w:highlight w:val="none"/>
        </w:rPr>
      </w:pPr>
    </w:p>
    <w:p>
      <w:pPr>
        <w:spacing w:line="360" w:lineRule="auto"/>
        <w:ind w:firstLine="5280" w:firstLineChars="2200"/>
        <w:rPr>
          <w:rFonts w:ascii="宋体" w:hAnsi="宋体" w:cs="宋体"/>
          <w:sz w:val="24"/>
          <w:highlight w:val="none"/>
        </w:rPr>
      </w:pPr>
    </w:p>
    <w:p>
      <w:pPr>
        <w:spacing w:line="360" w:lineRule="auto"/>
        <w:ind w:firstLine="5520" w:firstLineChars="2300"/>
        <w:rPr>
          <w:rFonts w:ascii="宋体" w:hAnsi="宋体" w:cs="宋体"/>
          <w:sz w:val="24"/>
          <w:highlight w:val="none"/>
        </w:rPr>
      </w:pPr>
      <w:r>
        <w:rPr>
          <w:rFonts w:hint="eastAsia" w:ascii="宋体" w:hAnsi="宋体" w:cs="宋体"/>
          <w:sz w:val="24"/>
          <w:highlight w:val="none"/>
        </w:rPr>
        <w:t xml:space="preserve">保证人：（公章） </w:t>
      </w:r>
    </w:p>
    <w:p>
      <w:pPr>
        <w:spacing w:line="360" w:lineRule="auto"/>
        <w:rPr>
          <w:rFonts w:ascii="宋体" w:hAnsi="宋体" w:cs="宋体"/>
          <w:sz w:val="24"/>
          <w:highlight w:val="none"/>
        </w:rPr>
      </w:pPr>
      <w:r>
        <w:rPr>
          <w:rFonts w:hint="eastAsia" w:ascii="宋体" w:hAnsi="宋体" w:cs="宋体"/>
          <w:sz w:val="24"/>
          <w:highlight w:val="none"/>
        </w:rPr>
        <w:t xml:space="preserve">                                                                       年     月      日 </w:t>
      </w:r>
    </w:p>
    <w:p>
      <w:pPr>
        <w:spacing w:line="360" w:lineRule="auto"/>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spacing w:line="360" w:lineRule="auto"/>
        <w:jc w:val="left"/>
        <w:rPr>
          <w:rFonts w:ascii="宋体" w:hAnsi="宋体" w:cs="宋体"/>
          <w:b/>
          <w:sz w:val="28"/>
          <w:szCs w:val="28"/>
          <w:highlight w:val="none"/>
        </w:rPr>
      </w:pPr>
      <w:bookmarkStart w:id="128" w:name="_Toc2689_WPSOffice_Level2"/>
    </w:p>
    <w:p>
      <w:pPr>
        <w:spacing w:line="360" w:lineRule="auto"/>
        <w:jc w:val="left"/>
        <w:rPr>
          <w:rFonts w:ascii="宋体" w:hAnsi="宋体" w:cs="宋体"/>
          <w:bCs/>
          <w:sz w:val="28"/>
          <w:szCs w:val="28"/>
          <w:highlight w:val="none"/>
        </w:rPr>
      </w:pPr>
      <w:r>
        <w:rPr>
          <w:rFonts w:hint="eastAsia" w:ascii="宋体" w:hAnsi="宋体" w:cs="宋体"/>
          <w:b/>
          <w:sz w:val="28"/>
          <w:szCs w:val="28"/>
          <w:highlight w:val="none"/>
        </w:rPr>
        <w:t xml:space="preserve">招标编号：                                     </w:t>
      </w:r>
      <w:r>
        <w:rPr>
          <w:rFonts w:hint="eastAsia" w:ascii="宋体" w:hAnsi="宋体" w:cs="宋体"/>
          <w:b/>
          <w:bCs/>
          <w:highlight w:val="none"/>
        </w:rPr>
        <w:t xml:space="preserve"> </w:t>
      </w:r>
      <w:r>
        <w:rPr>
          <w:rFonts w:hint="eastAsia" w:ascii="宋体" w:hAnsi="宋体" w:cs="宋体"/>
          <w:b/>
          <w:bCs/>
          <w:highlight w:val="none"/>
          <w:lang w:eastAsia="zh-CN"/>
        </w:rPr>
        <w:t>（</w:t>
      </w:r>
      <w:r>
        <w:rPr>
          <w:rFonts w:hint="eastAsia" w:ascii="宋体" w:hAnsi="宋体" w:cs="宋体"/>
          <w:b/>
          <w:bCs/>
          <w:sz w:val="28"/>
          <w:szCs w:val="28"/>
          <w:highlight w:val="none"/>
        </w:rPr>
        <w:t>正本或副本</w:t>
      </w:r>
      <w:r>
        <w:rPr>
          <w:rFonts w:hint="eastAsia" w:ascii="宋体" w:hAnsi="宋体" w:cs="宋体"/>
          <w:b/>
          <w:bCs/>
          <w:sz w:val="28"/>
          <w:szCs w:val="28"/>
          <w:highlight w:val="none"/>
          <w:lang w:eastAsia="zh-CN"/>
        </w:rPr>
        <w:t>）</w:t>
      </w:r>
    </w:p>
    <w:p>
      <w:pPr>
        <w:spacing w:line="360" w:lineRule="auto"/>
        <w:jc w:val="center"/>
        <w:rPr>
          <w:rFonts w:ascii="宋体" w:hAnsi="宋体" w:cs="宋体"/>
          <w:b/>
          <w:sz w:val="52"/>
          <w:szCs w:val="52"/>
          <w:highlight w:val="none"/>
        </w:rPr>
      </w:pPr>
    </w:p>
    <w:p>
      <w:pPr>
        <w:pStyle w:val="6"/>
        <w:ind w:firstLine="1044"/>
        <w:rPr>
          <w:rFonts w:ascii="宋体" w:hAnsi="宋体" w:cs="宋体"/>
          <w:b/>
          <w:sz w:val="52"/>
          <w:szCs w:val="52"/>
          <w:highlight w:val="none"/>
        </w:rPr>
      </w:pPr>
      <w:r>
        <w:rPr>
          <w:rFonts w:hint="eastAsia" w:ascii="宋体" w:hAnsi="宋体" w:cs="宋体"/>
          <w:b/>
          <w:sz w:val="52"/>
          <w:szCs w:val="52"/>
          <w:highlight w:val="none"/>
        </w:rPr>
        <w:t>汉阴县中医医院信息化建设项目</w:t>
      </w:r>
    </w:p>
    <w:p>
      <w:pPr>
        <w:pStyle w:val="7"/>
        <w:rPr>
          <w:highlight w:val="none"/>
        </w:rPr>
      </w:pPr>
    </w:p>
    <w:p>
      <w:pPr>
        <w:pStyle w:val="6"/>
        <w:ind w:firstLine="1044"/>
        <w:rPr>
          <w:rFonts w:ascii="宋体" w:hAnsi="宋体" w:cs="宋体"/>
          <w:b/>
          <w:sz w:val="52"/>
          <w:szCs w:val="52"/>
          <w:highlight w:val="none"/>
        </w:rPr>
      </w:pPr>
    </w:p>
    <w:p>
      <w:pPr>
        <w:tabs>
          <w:tab w:val="left" w:pos="7665"/>
        </w:tabs>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投标文件</w:t>
      </w:r>
      <w:bookmarkEnd w:id="128"/>
    </w:p>
    <w:p>
      <w:pPr>
        <w:tabs>
          <w:tab w:val="left" w:pos="7665"/>
        </w:tabs>
        <w:spacing w:line="360" w:lineRule="auto"/>
        <w:jc w:val="center"/>
        <w:rPr>
          <w:rFonts w:ascii="宋体" w:hAnsi="宋体" w:cs="宋体"/>
          <w:b/>
          <w:bCs/>
          <w:sz w:val="24"/>
          <w:highlight w:val="none"/>
        </w:rPr>
      </w:pPr>
      <w:r>
        <w:rPr>
          <w:rFonts w:hint="eastAsia" w:ascii="宋体" w:hAnsi="宋体" w:cs="宋体"/>
          <w:b/>
          <w:bCs/>
          <w:sz w:val="24"/>
          <w:highlight w:val="none"/>
        </w:rPr>
        <w:t>（商务、技术部分）</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adjustRightInd w:val="0"/>
        <w:snapToGrid w:val="0"/>
        <w:spacing w:line="360" w:lineRule="auto"/>
        <w:rPr>
          <w:rFonts w:ascii="宋体" w:hAnsi="宋体" w:cs="宋体"/>
          <w:highlight w:val="none"/>
        </w:rPr>
      </w:pPr>
    </w:p>
    <w:p>
      <w:pPr>
        <w:tabs>
          <w:tab w:val="left" w:pos="2200"/>
        </w:tabs>
        <w:adjustRightInd w:val="0"/>
        <w:snapToGrid w:val="0"/>
        <w:spacing w:line="360" w:lineRule="auto"/>
        <w:ind w:firstLine="660" w:firstLineChars="220"/>
        <w:jc w:val="left"/>
        <w:rPr>
          <w:rFonts w:ascii="宋体" w:hAnsi="宋体" w:cs="宋体"/>
          <w:sz w:val="28"/>
          <w:highlight w:val="none"/>
        </w:rPr>
      </w:pPr>
      <w:r>
        <w:rPr>
          <w:rFonts w:hint="eastAsia" w:ascii="宋体" w:hAnsi="宋体" w:cs="宋体"/>
          <w:sz w:val="30"/>
          <w:highlight w:val="none"/>
        </w:rPr>
        <w:t xml:space="preserve">供   应   商： </w:t>
      </w:r>
      <w:r>
        <w:rPr>
          <w:rFonts w:hint="eastAsia" w:ascii="宋体" w:hAnsi="宋体" w:cs="宋体"/>
          <w:sz w:val="30"/>
          <w:highlight w:val="none"/>
          <w:u w:val="thick"/>
        </w:rPr>
        <w:t xml:space="preserve">                          </w:t>
      </w:r>
      <w:r>
        <w:rPr>
          <w:rFonts w:hint="eastAsia" w:ascii="宋体" w:hAnsi="宋体" w:cs="宋体"/>
          <w:sz w:val="30"/>
          <w:highlight w:val="none"/>
        </w:rPr>
        <w:t xml:space="preserve"> （盖章）</w:t>
      </w:r>
    </w:p>
    <w:p>
      <w:pPr>
        <w:adjustRightInd w:val="0"/>
        <w:snapToGrid w:val="0"/>
        <w:spacing w:line="360" w:lineRule="auto"/>
        <w:ind w:firstLine="660" w:firstLineChars="220"/>
        <w:jc w:val="left"/>
        <w:rPr>
          <w:rFonts w:ascii="宋体" w:hAnsi="宋体" w:cs="宋体"/>
          <w:sz w:val="30"/>
          <w:highlight w:val="none"/>
        </w:rPr>
      </w:pPr>
      <w:r>
        <w:rPr>
          <w:rFonts w:hint="eastAsia" w:ascii="宋体" w:hAnsi="宋体" w:cs="宋体"/>
          <w:sz w:val="30"/>
          <w:highlight w:val="none"/>
        </w:rPr>
        <w:t>法定代表人或</w:t>
      </w:r>
    </w:p>
    <w:p>
      <w:pPr>
        <w:adjustRightInd w:val="0"/>
        <w:snapToGrid w:val="0"/>
        <w:spacing w:line="360" w:lineRule="auto"/>
        <w:ind w:firstLine="660" w:firstLineChars="220"/>
        <w:jc w:val="left"/>
        <w:rPr>
          <w:rFonts w:ascii="宋体" w:hAnsi="宋体" w:cs="宋体"/>
          <w:sz w:val="30"/>
          <w:highlight w:val="none"/>
        </w:rPr>
      </w:pPr>
      <w:r>
        <w:rPr>
          <w:rFonts w:hint="eastAsia" w:ascii="宋体" w:hAnsi="宋体" w:cs="宋体"/>
          <w:sz w:val="30"/>
          <w:highlight w:val="none"/>
        </w:rPr>
        <w:t>其委托代理人：</w:t>
      </w:r>
      <w:r>
        <w:rPr>
          <w:rFonts w:hint="eastAsia" w:ascii="宋体" w:hAnsi="宋体" w:cs="宋体"/>
          <w:sz w:val="30"/>
          <w:highlight w:val="none"/>
          <w:u w:val="thick"/>
        </w:rPr>
        <w:t xml:space="preserve">                     </w:t>
      </w:r>
      <w:r>
        <w:rPr>
          <w:rFonts w:hint="eastAsia" w:ascii="宋体" w:hAnsi="宋体" w:cs="宋体"/>
          <w:sz w:val="30"/>
          <w:highlight w:val="none"/>
        </w:rPr>
        <w:t>（签字或盖章）</w:t>
      </w:r>
    </w:p>
    <w:p>
      <w:pPr>
        <w:adjustRightInd w:val="0"/>
        <w:snapToGrid w:val="0"/>
        <w:spacing w:line="360" w:lineRule="auto"/>
        <w:ind w:firstLine="660" w:firstLineChars="220"/>
        <w:jc w:val="left"/>
        <w:rPr>
          <w:rFonts w:ascii="宋体" w:hAnsi="宋体" w:cs="宋体"/>
          <w:sz w:val="30"/>
          <w:highlight w:val="none"/>
        </w:rPr>
      </w:pPr>
      <w:r>
        <w:rPr>
          <w:rFonts w:hint="eastAsia" w:ascii="宋体" w:hAnsi="宋体" w:cs="宋体"/>
          <w:sz w:val="30"/>
          <w:highlight w:val="none"/>
        </w:rPr>
        <w:t>日        期：</w:t>
      </w:r>
      <w:r>
        <w:rPr>
          <w:rFonts w:hint="eastAsia" w:ascii="宋体" w:hAnsi="宋体" w:cs="宋体"/>
          <w:sz w:val="30"/>
          <w:highlight w:val="none"/>
          <w:u w:val="thick"/>
        </w:rPr>
        <w:t xml:space="preserve">        </w:t>
      </w:r>
      <w:r>
        <w:rPr>
          <w:rFonts w:hint="eastAsia" w:ascii="宋体" w:hAnsi="宋体" w:cs="宋体"/>
          <w:sz w:val="30"/>
          <w:highlight w:val="none"/>
        </w:rPr>
        <w:t>年</w:t>
      </w:r>
      <w:r>
        <w:rPr>
          <w:rFonts w:hint="eastAsia" w:ascii="宋体" w:hAnsi="宋体" w:cs="宋体"/>
          <w:sz w:val="30"/>
          <w:highlight w:val="none"/>
          <w:u w:val="thick"/>
        </w:rPr>
        <w:t xml:space="preserve">        </w:t>
      </w:r>
      <w:r>
        <w:rPr>
          <w:rFonts w:hint="eastAsia" w:ascii="宋体" w:hAnsi="宋体" w:cs="宋体"/>
          <w:sz w:val="30"/>
          <w:highlight w:val="none"/>
        </w:rPr>
        <w:t>月</w:t>
      </w:r>
      <w:r>
        <w:rPr>
          <w:rFonts w:hint="eastAsia" w:ascii="宋体" w:hAnsi="宋体" w:cs="宋体"/>
          <w:sz w:val="30"/>
          <w:highlight w:val="none"/>
          <w:u w:val="thick"/>
        </w:rPr>
        <w:t xml:space="preserve">        </w:t>
      </w:r>
      <w:r>
        <w:rPr>
          <w:rFonts w:hint="eastAsia" w:ascii="宋体" w:hAnsi="宋体" w:cs="宋体"/>
          <w:sz w:val="30"/>
          <w:highlight w:val="none"/>
        </w:rPr>
        <w:t>日</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spacing w:line="360" w:lineRule="auto"/>
        <w:jc w:val="center"/>
        <w:rPr>
          <w:rFonts w:ascii="宋体" w:hAnsi="宋体" w:cs="宋体"/>
          <w:sz w:val="24"/>
          <w:szCs w:val="32"/>
          <w:highlight w:val="none"/>
        </w:rPr>
      </w:pPr>
    </w:p>
    <w:p>
      <w:pPr>
        <w:spacing w:line="360" w:lineRule="auto"/>
        <w:jc w:val="center"/>
        <w:rPr>
          <w:rFonts w:ascii="宋体" w:hAnsi="宋体" w:cs="宋体"/>
          <w:sz w:val="24"/>
          <w:szCs w:val="32"/>
          <w:highlight w:val="none"/>
        </w:rPr>
      </w:pPr>
      <w:r>
        <w:rPr>
          <w:rFonts w:hint="eastAsia" w:ascii="宋体" w:hAnsi="宋体" w:cs="宋体"/>
          <w:sz w:val="24"/>
          <w:szCs w:val="32"/>
          <w:highlight w:val="none"/>
        </w:rPr>
        <w:t>目      录</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（1）投标函</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（2）开标一览表</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（3）商务偏离表</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（4）技术部分（技术方案）</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（5）类似和相关项目业绩一览表</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（6）供应商认为需要补充</w:t>
      </w:r>
      <w:r>
        <w:rPr>
          <w:rFonts w:hint="eastAsia" w:ascii="宋体" w:hAnsi="宋体" w:cs="宋体"/>
          <w:sz w:val="24"/>
          <w:highlight w:val="none"/>
          <w:lang w:eastAsia="zh-CN"/>
        </w:rPr>
        <w:t>的其他</w:t>
      </w:r>
      <w:r>
        <w:rPr>
          <w:rFonts w:hint="eastAsia" w:ascii="宋体" w:hAnsi="宋体" w:cs="宋体"/>
          <w:sz w:val="24"/>
          <w:highlight w:val="none"/>
        </w:rPr>
        <w:t>资料</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（7）投标供应商满足政府采购相关优惠政策的声明或证明材料</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bookmarkStart w:id="129" w:name="_Toc6960_WPSOffice_Level1"/>
      <w:r>
        <w:rPr>
          <w:rFonts w:hint="eastAsia" w:ascii="宋体" w:hAnsi="宋体" w:cs="宋体"/>
          <w:b/>
          <w:bCs/>
          <w:sz w:val="24"/>
          <w:highlight w:val="none"/>
        </w:rPr>
        <w:t>1.投 标 函</w:t>
      </w:r>
      <w:bookmarkEnd w:id="129"/>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1．我方</w:t>
      </w:r>
      <w:r>
        <w:rPr>
          <w:rFonts w:hint="eastAsia" w:ascii="宋体" w:hAnsi="宋体" w:cs="宋体"/>
          <w:szCs w:val="21"/>
          <w:highlight w:val="none"/>
          <w:lang w:eastAsia="zh-CN"/>
        </w:rPr>
        <w:t>已</w:t>
      </w:r>
      <w:r>
        <w:rPr>
          <w:rFonts w:hint="eastAsia" w:ascii="宋体" w:hAnsi="宋体" w:cs="宋体"/>
          <w:szCs w:val="21"/>
          <w:highlight w:val="none"/>
        </w:rPr>
        <w:t>仔细研究了</w:t>
      </w:r>
      <w:r>
        <w:rPr>
          <w:rFonts w:hint="eastAsia" w:ascii="宋体" w:hAnsi="宋体" w:cs="宋体"/>
          <w:szCs w:val="21"/>
          <w:highlight w:val="none"/>
          <w:u w:val="single"/>
        </w:rPr>
        <w:t xml:space="preserve">         （项目标段名称、编号）</w:t>
      </w:r>
      <w:r>
        <w:rPr>
          <w:rFonts w:hint="eastAsia" w:ascii="宋体" w:hAnsi="宋体" w:cs="宋体"/>
          <w:szCs w:val="21"/>
          <w:highlight w:val="none"/>
        </w:rPr>
        <w:t>招标文件的全部内容，愿意以投标总报价</w:t>
      </w:r>
      <w:r>
        <w:rPr>
          <w:rFonts w:hint="eastAsia" w:ascii="宋体" w:hAnsi="宋体" w:cs="宋体"/>
          <w:szCs w:val="21"/>
          <w:highlight w:val="none"/>
          <w:lang w:eastAsia="zh-CN"/>
        </w:rPr>
        <w:t>（</w:t>
      </w:r>
      <w:r>
        <w:rPr>
          <w:rFonts w:hint="eastAsia" w:ascii="宋体" w:hAnsi="宋体" w:cs="宋体"/>
          <w:szCs w:val="21"/>
          <w:highlight w:val="none"/>
        </w:rPr>
        <w:t>大写</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rPr>
        <w:t>小写</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rPr>
        <w:t>交货及安装期限：</w:t>
      </w:r>
      <w:r>
        <w:rPr>
          <w:rFonts w:hint="eastAsia" w:ascii="宋体" w:hAnsi="宋体" w:cs="宋体"/>
          <w:szCs w:val="21"/>
          <w:highlight w:val="none"/>
          <w:u w:val="single"/>
        </w:rPr>
        <w:t xml:space="preserve">     </w:t>
      </w:r>
      <w:r>
        <w:rPr>
          <w:rFonts w:hint="eastAsia" w:ascii="宋体" w:hAnsi="宋体" w:cs="宋体"/>
          <w:szCs w:val="21"/>
          <w:highlight w:val="none"/>
        </w:rPr>
        <w:t>，交货地点：</w:t>
      </w:r>
      <w:r>
        <w:rPr>
          <w:rFonts w:hint="eastAsia" w:ascii="宋体" w:hAnsi="宋体" w:cs="宋体"/>
          <w:szCs w:val="21"/>
          <w:highlight w:val="none"/>
          <w:u w:val="single"/>
        </w:rPr>
        <w:t>采购人指定地点</w:t>
      </w:r>
      <w:r>
        <w:rPr>
          <w:rFonts w:hint="eastAsia" w:ascii="宋体" w:hAnsi="宋体" w:cs="宋体"/>
          <w:szCs w:val="21"/>
          <w:highlight w:val="none"/>
        </w:rPr>
        <w:t>，按合同约定实施和完成所承担项目的一切工作。</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2、我方已详细审核全部招标文件，包括答疑纪要及有关附件。</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3．我方承诺在投标有效期内不修改、撤销投标文件。</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4. 我方保证上述投标报价不低于我单位的成本价。</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5. 我们理解，你们有选择中标单位的权力，最低报价不是中标的唯一条件。</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6. 我方的投标文件有效期为自投标文件递交截止之日起</w:t>
      </w:r>
      <w:r>
        <w:rPr>
          <w:rFonts w:hint="eastAsia" w:ascii="宋体" w:hAnsi="宋体" w:cs="宋体"/>
          <w:szCs w:val="21"/>
          <w:highlight w:val="none"/>
          <w:u w:val="single"/>
        </w:rPr>
        <w:t xml:space="preserve">    </w:t>
      </w:r>
      <w:r>
        <w:rPr>
          <w:rFonts w:hint="eastAsia" w:ascii="宋体" w:hAnsi="宋体" w:cs="宋体"/>
          <w:szCs w:val="21"/>
          <w:highlight w:val="none"/>
        </w:rPr>
        <w:t>个日历日，如果我方中标，投标文件有效期延长至合同终止日止。</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7．我方在此声明，所递交的投标文件及有关资料内容完整、真实和准确。</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8. 我们愿按《中华人民共和国民法典》履行自己的全部责任。</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9．如我方中标：</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l）我方承诺在收到中标通知书后，在中标通知书规定的期限内与你方签订合同。</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2）我方承诺在合同约定的期限内完成所有工作。</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10.与本投标有关的一切往来通信请寄：</w:t>
      </w:r>
    </w:p>
    <w:p>
      <w:pPr>
        <w:adjustRightInd w:val="0"/>
        <w:snapToGrid w:val="0"/>
        <w:spacing w:line="360" w:lineRule="auto"/>
        <w:ind w:firstLine="371" w:firstLineChars="177"/>
        <w:rPr>
          <w:rFonts w:ascii="宋体" w:hAnsi="宋体" w:cs="宋体"/>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地址：</w:t>
      </w:r>
      <w:r>
        <w:rPr>
          <w:rFonts w:hint="eastAsia" w:ascii="宋体" w:hAnsi="宋体" w:cs="宋体"/>
          <w:szCs w:val="21"/>
          <w:highlight w:val="none"/>
          <w:u w:val="single"/>
        </w:rPr>
        <w:t xml:space="preserve">                             </w:t>
      </w:r>
    </w:p>
    <w:p>
      <w:pPr>
        <w:adjustRightInd w:val="0"/>
        <w:snapToGrid w:val="0"/>
        <w:spacing w:line="360" w:lineRule="auto"/>
        <w:ind w:firstLine="371" w:firstLineChars="177"/>
        <w:rPr>
          <w:rFonts w:ascii="宋体" w:hAnsi="宋体" w:cs="宋体"/>
          <w:szCs w:val="21"/>
          <w:highlight w:val="none"/>
          <w:u w:val="single"/>
        </w:rPr>
      </w:pPr>
      <w:r>
        <w:rPr>
          <w:rFonts w:hint="eastAsia" w:ascii="宋体" w:hAnsi="宋体" w:cs="宋体"/>
          <w:szCs w:val="21"/>
          <w:highlight w:val="none"/>
        </w:rPr>
        <w:t>开 户银 行：</w:t>
      </w:r>
      <w:r>
        <w:rPr>
          <w:rFonts w:hint="eastAsia" w:ascii="宋体" w:hAnsi="宋体" w:cs="宋体"/>
          <w:szCs w:val="21"/>
          <w:highlight w:val="none"/>
          <w:u w:val="single"/>
        </w:rPr>
        <w:t xml:space="preserve">                       </w:t>
      </w:r>
      <w:r>
        <w:rPr>
          <w:rFonts w:hint="eastAsia" w:ascii="宋体" w:hAnsi="宋体" w:cs="宋体"/>
          <w:szCs w:val="21"/>
          <w:highlight w:val="none"/>
        </w:rPr>
        <w:t>账号：</w:t>
      </w:r>
      <w:r>
        <w:rPr>
          <w:rFonts w:hint="eastAsia" w:ascii="宋体" w:hAnsi="宋体" w:cs="宋体"/>
          <w:szCs w:val="21"/>
          <w:highlight w:val="none"/>
          <w:u w:val="single"/>
        </w:rPr>
        <w:t xml:space="preserve">                             </w:t>
      </w:r>
    </w:p>
    <w:p>
      <w:pPr>
        <w:adjustRightInd w:val="0"/>
        <w:snapToGrid w:val="0"/>
        <w:spacing w:line="360" w:lineRule="auto"/>
        <w:ind w:firstLine="371" w:firstLineChars="177"/>
        <w:rPr>
          <w:rFonts w:ascii="宋体" w:hAnsi="宋体" w:cs="宋体"/>
          <w:szCs w:val="21"/>
          <w:highlight w:val="none"/>
          <w:u w:val="single"/>
        </w:rPr>
      </w:pP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p>
    <w:p>
      <w:pPr>
        <w:adjustRightInd w:val="0"/>
        <w:snapToGrid w:val="0"/>
        <w:spacing w:line="360" w:lineRule="auto"/>
        <w:ind w:firstLine="371" w:firstLineChars="177"/>
        <w:rPr>
          <w:rFonts w:ascii="宋体" w:hAnsi="宋体" w:cs="宋体"/>
          <w:szCs w:val="21"/>
          <w:highlight w:val="none"/>
        </w:rPr>
      </w:pP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ind w:firstLine="247" w:firstLineChars="118"/>
        <w:jc w:val="right"/>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rPr>
          <w:rFonts w:ascii="宋体" w:hAnsi="宋体" w:cs="宋体"/>
          <w:sz w:val="24"/>
          <w:highlight w:val="none"/>
        </w:rPr>
      </w:pPr>
      <w:bookmarkStart w:id="130" w:name="_Toc8415_WPSOffice_Level1"/>
      <w:r>
        <w:rPr>
          <w:rFonts w:hint="eastAsia" w:ascii="宋体" w:hAnsi="宋体" w:cs="宋体"/>
          <w:b/>
          <w:bCs/>
          <w:sz w:val="24"/>
          <w:highlight w:val="none"/>
        </w:rPr>
        <w:t>2.开标一览表</w:t>
      </w:r>
      <w:bookmarkEnd w:id="130"/>
    </w:p>
    <w:tbl>
      <w:tblPr>
        <w:tblStyle w:val="23"/>
        <w:tblpPr w:leftFromText="180" w:rightFromText="180" w:vertAnchor="text" w:horzAnchor="page" w:tblpX="1672"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369"/>
        <w:gridCol w:w="1678"/>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434"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2369" w:type="dxa"/>
            <w:vAlign w:val="center"/>
          </w:tcPr>
          <w:p>
            <w:pPr>
              <w:adjustRightInd w:val="0"/>
              <w:snapToGrid w:val="0"/>
              <w:spacing w:line="360" w:lineRule="auto"/>
              <w:jc w:val="center"/>
              <w:rPr>
                <w:rFonts w:ascii="宋体" w:hAnsi="宋体" w:cs="宋体"/>
                <w:szCs w:val="21"/>
                <w:highlight w:val="none"/>
              </w:rPr>
            </w:pPr>
          </w:p>
        </w:tc>
        <w:tc>
          <w:tcPr>
            <w:tcW w:w="1678"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项目编号</w:t>
            </w:r>
          </w:p>
        </w:tc>
        <w:tc>
          <w:tcPr>
            <w:tcW w:w="2284" w:type="dxa"/>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2434"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投标总报价</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（元）</w:t>
            </w:r>
          </w:p>
        </w:tc>
        <w:tc>
          <w:tcPr>
            <w:tcW w:w="6331" w:type="dxa"/>
            <w:gridSpan w:val="3"/>
            <w:vAlign w:val="center"/>
          </w:tcPr>
          <w:p>
            <w:pPr>
              <w:adjustRightInd w:val="0"/>
              <w:snapToGrid w:val="0"/>
              <w:spacing w:line="360" w:lineRule="auto"/>
              <w:ind w:firstLine="1050" w:firstLineChars="500"/>
              <w:rPr>
                <w:rFonts w:ascii="宋体" w:hAnsi="宋体" w:cs="宋体"/>
                <w:szCs w:val="21"/>
                <w:highlight w:val="none"/>
              </w:rPr>
            </w:pPr>
            <w:r>
              <w:rPr>
                <w:rFonts w:hint="eastAsia" w:ascii="宋体" w:hAnsi="宋体" w:cs="宋体"/>
                <w:szCs w:val="21"/>
                <w:highlight w:val="none"/>
                <w:u w:val="single"/>
              </w:rPr>
              <w:t xml:space="preserve">    （大写）              </w:t>
            </w:r>
            <w:r>
              <w:rPr>
                <w:rFonts w:hint="eastAsia" w:ascii="宋体" w:hAnsi="宋体" w:cs="宋体"/>
                <w:szCs w:val="21"/>
                <w:highlight w:val="none"/>
              </w:rPr>
              <w:t>元</w:t>
            </w:r>
            <w:r>
              <w:rPr>
                <w:rFonts w:hint="eastAsia" w:ascii="宋体" w:hAnsi="宋体" w:cs="宋体"/>
                <w:szCs w:val="21"/>
                <w:highlight w:val="none"/>
                <w:u w:val="single"/>
              </w:rPr>
              <w:t xml:space="preserve"> </w:t>
            </w:r>
          </w:p>
          <w:p>
            <w:pPr>
              <w:adjustRightInd w:val="0"/>
              <w:snapToGrid w:val="0"/>
              <w:spacing w:line="360" w:lineRule="auto"/>
              <w:ind w:firstLine="1050" w:firstLineChars="500"/>
              <w:rPr>
                <w:rFonts w:ascii="宋体" w:hAnsi="宋体" w:cs="宋体"/>
                <w:szCs w:val="21"/>
                <w:highlight w:val="none"/>
                <w:u w:val="single"/>
              </w:rPr>
            </w:pPr>
            <w:r>
              <w:rPr>
                <w:rFonts w:hint="eastAsia" w:ascii="宋体" w:hAnsi="宋体" w:cs="宋体"/>
                <w:szCs w:val="21"/>
                <w:highlight w:val="none"/>
                <w:u w:val="single"/>
              </w:rPr>
              <w:t xml:space="preserve">    （小写）              </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34"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交货及安装期限</w:t>
            </w:r>
          </w:p>
        </w:tc>
        <w:tc>
          <w:tcPr>
            <w:tcW w:w="6331" w:type="dxa"/>
            <w:gridSpan w:val="3"/>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434"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质保期</w:t>
            </w:r>
          </w:p>
        </w:tc>
        <w:tc>
          <w:tcPr>
            <w:tcW w:w="6331" w:type="dxa"/>
            <w:gridSpan w:val="3"/>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434"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6331" w:type="dxa"/>
            <w:gridSpan w:val="3"/>
            <w:vAlign w:val="center"/>
          </w:tcPr>
          <w:p>
            <w:pPr>
              <w:adjustRightInd w:val="0"/>
              <w:snapToGrid w:val="0"/>
              <w:spacing w:line="360" w:lineRule="auto"/>
              <w:jc w:val="center"/>
              <w:rPr>
                <w:rFonts w:ascii="宋体" w:hAnsi="宋体" w:cs="宋体"/>
                <w:szCs w:val="21"/>
                <w:highlight w:val="none"/>
              </w:rPr>
            </w:pPr>
          </w:p>
        </w:tc>
      </w:tr>
    </w:tbl>
    <w:p>
      <w:pPr>
        <w:pStyle w:val="13"/>
        <w:adjustRightInd w:val="0"/>
        <w:snapToGrid w:val="0"/>
        <w:spacing w:line="360" w:lineRule="auto"/>
        <w:rPr>
          <w:rFonts w:hAnsi="宋体" w:cs="宋体"/>
          <w:b/>
          <w:szCs w:val="21"/>
          <w:highlight w:val="none"/>
        </w:rPr>
      </w:pPr>
      <w:r>
        <w:rPr>
          <w:rFonts w:hint="eastAsia" w:hAnsi="宋体" w:cs="宋体"/>
          <w:b/>
          <w:szCs w:val="21"/>
          <w:highlight w:val="none"/>
        </w:rPr>
        <w:t xml:space="preserve">  注：</w:t>
      </w:r>
    </w:p>
    <w:p>
      <w:pPr>
        <w:adjustRightInd w:val="0"/>
        <w:snapToGrid w:val="0"/>
        <w:spacing w:line="360" w:lineRule="auto"/>
        <w:ind w:firstLine="283" w:firstLineChars="135"/>
        <w:rPr>
          <w:rFonts w:ascii="宋体" w:hAnsi="宋体" w:cs="宋体"/>
          <w:szCs w:val="21"/>
          <w:highlight w:val="none"/>
        </w:rPr>
      </w:pPr>
      <w:r>
        <w:rPr>
          <w:rFonts w:hint="eastAsia" w:ascii="宋体" w:hAnsi="宋体" w:cs="宋体"/>
          <w:szCs w:val="21"/>
          <w:highlight w:val="none"/>
        </w:rPr>
        <w:t>1.如果不提供详细分项报价将视为没有实质性响应招标文件。</w:t>
      </w:r>
    </w:p>
    <w:p>
      <w:pPr>
        <w:adjustRightInd w:val="0"/>
        <w:snapToGrid w:val="0"/>
        <w:spacing w:line="360" w:lineRule="auto"/>
        <w:ind w:firstLine="283" w:firstLineChars="135"/>
        <w:rPr>
          <w:rFonts w:ascii="宋体" w:hAnsi="宋体" w:cs="宋体"/>
          <w:szCs w:val="21"/>
          <w:highlight w:val="none"/>
        </w:rPr>
      </w:pPr>
      <w:r>
        <w:rPr>
          <w:rFonts w:hint="eastAsia" w:ascii="宋体" w:hAnsi="宋体" w:cs="宋体"/>
          <w:szCs w:val="21"/>
          <w:highlight w:val="none"/>
        </w:rPr>
        <w:t>2.完成本项目服务所需要的所有工作内容的全部费用，包括人工费、材料设备费、管理费、运输费、装卸费、安装费、税金、完成全部设备采购及安装内容的直接费用、间接费用、招标代理服务费等达到使用要求的一切费用。</w:t>
      </w:r>
    </w:p>
    <w:p>
      <w:pPr>
        <w:adjustRightInd w:val="0"/>
        <w:snapToGrid w:val="0"/>
        <w:spacing w:line="360" w:lineRule="auto"/>
        <w:ind w:firstLine="283" w:firstLineChars="135"/>
        <w:rPr>
          <w:rFonts w:ascii="宋体" w:hAnsi="宋体" w:cs="宋体"/>
          <w:szCs w:val="21"/>
          <w:highlight w:val="none"/>
        </w:rPr>
      </w:pPr>
      <w:r>
        <w:rPr>
          <w:rFonts w:hint="eastAsia" w:ascii="宋体" w:hAnsi="宋体" w:cs="宋体"/>
          <w:szCs w:val="21"/>
          <w:highlight w:val="none"/>
        </w:rPr>
        <w:t>3.投标报价精确到小数点后两位。</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ind w:firstLine="247" w:firstLineChars="118"/>
        <w:jc w:val="right"/>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360" w:lineRule="auto"/>
        <w:ind w:firstLine="202" w:firstLineChars="67"/>
        <w:jc w:val="left"/>
        <w:rPr>
          <w:rFonts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24"/>
          <w:highlight w:val="none"/>
        </w:rPr>
        <w:t>2-1投标分项报价表</w:t>
      </w:r>
    </w:p>
    <w:p>
      <w:pPr>
        <w:adjustRightInd w:val="0"/>
        <w:snapToGrid w:val="0"/>
        <w:spacing w:line="360" w:lineRule="auto"/>
        <w:jc w:val="right"/>
        <w:rPr>
          <w:rFonts w:ascii="宋体" w:hAnsi="宋体" w:cs="宋体"/>
          <w:b/>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 xml:space="preserve">                                      单位：元（人民币）</w:t>
      </w:r>
    </w:p>
    <w:tbl>
      <w:tblPr>
        <w:tblStyle w:val="23"/>
        <w:tblW w:w="7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93"/>
        <w:gridCol w:w="1493"/>
        <w:gridCol w:w="725"/>
        <w:gridCol w:w="16"/>
        <w:gridCol w:w="771"/>
        <w:gridCol w:w="663"/>
        <w:gridCol w:w="725"/>
        <w:gridCol w:w="72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493"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服务内容</w:t>
            </w:r>
          </w:p>
        </w:tc>
        <w:tc>
          <w:tcPr>
            <w:tcW w:w="1493"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品牌、型号、</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规格参数</w:t>
            </w:r>
          </w:p>
        </w:tc>
        <w:tc>
          <w:tcPr>
            <w:tcW w:w="725"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制造</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商</w:t>
            </w:r>
          </w:p>
        </w:tc>
        <w:tc>
          <w:tcPr>
            <w:tcW w:w="787"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单</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位</w:t>
            </w:r>
          </w:p>
        </w:tc>
        <w:tc>
          <w:tcPr>
            <w:tcW w:w="663"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数</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量</w:t>
            </w:r>
          </w:p>
        </w:tc>
        <w:tc>
          <w:tcPr>
            <w:tcW w:w="725"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单价</w:t>
            </w:r>
          </w:p>
        </w:tc>
        <w:tc>
          <w:tcPr>
            <w:tcW w:w="725"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总价</w:t>
            </w:r>
          </w:p>
        </w:tc>
        <w:tc>
          <w:tcPr>
            <w:tcW w:w="728"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493" w:type="dxa"/>
            <w:vAlign w:val="center"/>
          </w:tcPr>
          <w:p>
            <w:pPr>
              <w:adjustRightInd w:val="0"/>
              <w:snapToGrid w:val="0"/>
              <w:spacing w:line="360" w:lineRule="auto"/>
              <w:jc w:val="center"/>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493" w:type="dxa"/>
            <w:vAlign w:val="center"/>
          </w:tcPr>
          <w:p>
            <w:pPr>
              <w:adjustRightInd w:val="0"/>
              <w:snapToGrid w:val="0"/>
              <w:spacing w:line="360" w:lineRule="auto"/>
              <w:jc w:val="center"/>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493" w:type="dxa"/>
            <w:vAlign w:val="center"/>
          </w:tcPr>
          <w:p>
            <w:pPr>
              <w:adjustRightInd w:val="0"/>
              <w:snapToGrid w:val="0"/>
              <w:spacing w:line="360" w:lineRule="auto"/>
              <w:jc w:val="center"/>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493" w:type="dxa"/>
            <w:vAlign w:val="center"/>
          </w:tcPr>
          <w:p>
            <w:pPr>
              <w:adjustRightInd w:val="0"/>
              <w:snapToGrid w:val="0"/>
              <w:spacing w:line="360" w:lineRule="auto"/>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493" w:type="dxa"/>
            <w:vAlign w:val="center"/>
          </w:tcPr>
          <w:p>
            <w:pPr>
              <w:adjustRightInd w:val="0"/>
              <w:snapToGrid w:val="0"/>
              <w:spacing w:line="360" w:lineRule="auto"/>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493" w:type="dxa"/>
            <w:vAlign w:val="center"/>
          </w:tcPr>
          <w:p>
            <w:pPr>
              <w:adjustRightInd w:val="0"/>
              <w:snapToGrid w:val="0"/>
              <w:spacing w:line="360" w:lineRule="auto"/>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1493" w:type="dxa"/>
            <w:vAlign w:val="center"/>
          </w:tcPr>
          <w:p>
            <w:pPr>
              <w:adjustRightInd w:val="0"/>
              <w:snapToGrid w:val="0"/>
              <w:spacing w:line="360" w:lineRule="auto"/>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w:t>
            </w:r>
          </w:p>
        </w:tc>
        <w:tc>
          <w:tcPr>
            <w:tcW w:w="1493" w:type="dxa"/>
            <w:vAlign w:val="center"/>
          </w:tcPr>
          <w:p>
            <w:pPr>
              <w:adjustRightInd w:val="0"/>
              <w:snapToGrid w:val="0"/>
              <w:spacing w:line="360" w:lineRule="auto"/>
              <w:rPr>
                <w:rFonts w:ascii="宋体" w:hAnsi="宋体" w:cs="宋体"/>
                <w:szCs w:val="21"/>
                <w:highlight w:val="none"/>
              </w:rPr>
            </w:pPr>
          </w:p>
        </w:tc>
        <w:tc>
          <w:tcPr>
            <w:tcW w:w="1493" w:type="dxa"/>
            <w:vAlign w:val="center"/>
          </w:tcPr>
          <w:p>
            <w:pPr>
              <w:adjustRightInd w:val="0"/>
              <w:snapToGrid w:val="0"/>
              <w:spacing w:line="360" w:lineRule="auto"/>
              <w:ind w:firstLine="211"/>
              <w:jc w:val="center"/>
              <w:rPr>
                <w:rFonts w:ascii="宋体" w:hAnsi="宋体" w:cs="宋体"/>
                <w:szCs w:val="21"/>
                <w:highlight w:val="none"/>
              </w:rPr>
            </w:pPr>
          </w:p>
        </w:tc>
        <w:tc>
          <w:tcPr>
            <w:tcW w:w="741" w:type="dxa"/>
            <w:gridSpan w:val="2"/>
            <w:vAlign w:val="center"/>
          </w:tcPr>
          <w:p>
            <w:pPr>
              <w:adjustRightInd w:val="0"/>
              <w:snapToGrid w:val="0"/>
              <w:spacing w:line="360" w:lineRule="auto"/>
              <w:ind w:firstLine="211"/>
              <w:jc w:val="center"/>
              <w:rPr>
                <w:rFonts w:ascii="宋体" w:hAnsi="宋体" w:cs="宋体"/>
                <w:szCs w:val="21"/>
                <w:highlight w:val="none"/>
              </w:rPr>
            </w:pPr>
          </w:p>
        </w:tc>
        <w:tc>
          <w:tcPr>
            <w:tcW w:w="771" w:type="dxa"/>
            <w:vAlign w:val="center"/>
          </w:tcPr>
          <w:p>
            <w:pPr>
              <w:adjustRightInd w:val="0"/>
              <w:snapToGrid w:val="0"/>
              <w:spacing w:line="360" w:lineRule="auto"/>
              <w:ind w:firstLine="211"/>
              <w:jc w:val="center"/>
              <w:rPr>
                <w:rFonts w:ascii="宋体" w:hAnsi="宋体" w:cs="宋体"/>
                <w:szCs w:val="21"/>
                <w:highlight w:val="none"/>
              </w:rPr>
            </w:pPr>
          </w:p>
        </w:tc>
        <w:tc>
          <w:tcPr>
            <w:tcW w:w="663" w:type="dxa"/>
            <w:vAlign w:val="center"/>
          </w:tcPr>
          <w:p>
            <w:pPr>
              <w:adjustRightInd w:val="0"/>
              <w:snapToGrid w:val="0"/>
              <w:spacing w:line="360" w:lineRule="auto"/>
              <w:jc w:val="center"/>
              <w:rPr>
                <w:rFonts w:ascii="宋体" w:hAnsi="宋体" w:cs="宋体"/>
                <w:b/>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5" w:type="dxa"/>
            <w:vAlign w:val="center"/>
          </w:tcPr>
          <w:p>
            <w:pPr>
              <w:adjustRightInd w:val="0"/>
              <w:snapToGrid w:val="0"/>
              <w:spacing w:line="360" w:lineRule="auto"/>
              <w:ind w:firstLine="211"/>
              <w:jc w:val="center"/>
              <w:rPr>
                <w:rFonts w:ascii="宋体" w:hAnsi="宋体" w:cs="宋体"/>
                <w:szCs w:val="21"/>
                <w:highlight w:val="none"/>
              </w:rPr>
            </w:pPr>
          </w:p>
        </w:tc>
        <w:tc>
          <w:tcPr>
            <w:tcW w:w="728" w:type="dxa"/>
            <w:vAlign w:val="center"/>
          </w:tcPr>
          <w:p>
            <w:pPr>
              <w:adjustRightInd w:val="0"/>
              <w:snapToGrid w:val="0"/>
              <w:spacing w:line="360" w:lineRule="auto"/>
              <w:ind w:firstLine="211"/>
              <w:jc w:val="center"/>
              <w:rPr>
                <w:rFonts w:ascii="宋体" w:hAnsi="宋体" w:cs="宋体"/>
                <w:szCs w:val="21"/>
                <w:highlight w:val="none"/>
              </w:rPr>
            </w:pPr>
          </w:p>
        </w:tc>
      </w:tr>
    </w:tbl>
    <w:p>
      <w:pPr>
        <w:adjustRightInd w:val="0"/>
        <w:snapToGrid w:val="0"/>
        <w:spacing w:line="360" w:lineRule="auto"/>
        <w:ind w:firstLine="105" w:firstLineChars="50"/>
        <w:rPr>
          <w:rFonts w:ascii="宋体" w:hAnsi="宋体" w:cs="宋体"/>
          <w:szCs w:val="21"/>
          <w:highlight w:val="none"/>
        </w:rPr>
      </w:pPr>
      <w:r>
        <w:rPr>
          <w:rFonts w:hint="eastAsia" w:ascii="宋体" w:hAnsi="宋体" w:cs="宋体"/>
          <w:szCs w:val="21"/>
          <w:highlight w:val="none"/>
        </w:rPr>
        <w:t>注：</w:t>
      </w:r>
    </w:p>
    <w:p>
      <w:pPr>
        <w:adjustRightInd w:val="0"/>
        <w:snapToGrid w:val="0"/>
        <w:spacing w:line="360" w:lineRule="auto"/>
        <w:ind w:firstLine="140" w:firstLineChars="67"/>
        <w:rPr>
          <w:rFonts w:ascii="宋体" w:hAnsi="宋体" w:cs="宋体"/>
          <w:szCs w:val="21"/>
          <w:highlight w:val="none"/>
        </w:rPr>
      </w:pPr>
      <w:r>
        <w:rPr>
          <w:rFonts w:hint="eastAsia" w:ascii="宋体" w:hAnsi="宋体" w:cs="宋体"/>
          <w:szCs w:val="21"/>
          <w:highlight w:val="none"/>
        </w:rPr>
        <w:t>1.所报货币为人民币。</w:t>
      </w:r>
    </w:p>
    <w:p>
      <w:pPr>
        <w:adjustRightInd w:val="0"/>
        <w:snapToGrid w:val="0"/>
        <w:spacing w:line="360" w:lineRule="auto"/>
        <w:ind w:firstLine="140" w:firstLineChars="67"/>
        <w:rPr>
          <w:rFonts w:ascii="宋体" w:hAnsi="宋体" w:cs="宋体"/>
          <w:szCs w:val="21"/>
          <w:highlight w:val="none"/>
        </w:rPr>
      </w:pPr>
      <w:r>
        <w:rPr>
          <w:rFonts w:hint="eastAsia" w:ascii="宋体" w:hAnsi="宋体" w:cs="宋体"/>
          <w:szCs w:val="21"/>
          <w:highlight w:val="none"/>
        </w:rPr>
        <w:t>2.本表中的“合计”与“开标一览表”中的“投标报价”一致。</w:t>
      </w:r>
    </w:p>
    <w:p>
      <w:pPr>
        <w:adjustRightInd w:val="0"/>
        <w:snapToGrid w:val="0"/>
        <w:spacing w:line="360" w:lineRule="auto"/>
        <w:ind w:firstLine="140" w:firstLineChars="67"/>
        <w:rPr>
          <w:rFonts w:ascii="宋体" w:hAnsi="宋体" w:cs="宋体"/>
          <w:szCs w:val="21"/>
          <w:highlight w:val="none"/>
        </w:rPr>
      </w:pPr>
      <w:r>
        <w:rPr>
          <w:rFonts w:hint="eastAsia" w:ascii="宋体" w:hAnsi="宋体" w:cs="宋体"/>
          <w:szCs w:val="21"/>
          <w:highlight w:val="none"/>
        </w:rPr>
        <w:t>3.表格不够，各供应商可按此表复制。</w:t>
      </w:r>
    </w:p>
    <w:p>
      <w:pPr>
        <w:adjustRightInd w:val="0"/>
        <w:snapToGrid w:val="0"/>
        <w:spacing w:line="360" w:lineRule="auto"/>
        <w:ind w:firstLine="140" w:firstLineChars="67"/>
        <w:rPr>
          <w:rFonts w:ascii="宋体" w:hAnsi="宋体" w:cs="宋体"/>
          <w:szCs w:val="21"/>
          <w:highlight w:val="none"/>
        </w:rPr>
      </w:pPr>
      <w:r>
        <w:rPr>
          <w:rFonts w:hint="eastAsia" w:ascii="宋体" w:hAnsi="宋体" w:cs="宋体"/>
          <w:szCs w:val="21"/>
          <w:highlight w:val="none"/>
        </w:rPr>
        <w:t>4.如果不提供详细分项报价将视为没有实质性响应招标文件。</w:t>
      </w:r>
    </w:p>
    <w:p>
      <w:pPr>
        <w:adjustRightInd w:val="0"/>
        <w:snapToGrid w:val="0"/>
        <w:spacing w:line="360" w:lineRule="auto"/>
        <w:rPr>
          <w:rFonts w:ascii="宋体" w:hAnsi="宋体" w:cs="宋体"/>
          <w:szCs w:val="21"/>
          <w:highlight w:val="none"/>
        </w:rPr>
      </w:pP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ind w:firstLine="247" w:firstLineChars="118"/>
        <w:jc w:val="right"/>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360" w:lineRule="auto"/>
        <w:jc w:val="center"/>
        <w:rPr>
          <w:rFonts w:ascii="宋体" w:hAnsi="宋体" w:cs="宋体"/>
          <w:b/>
          <w:szCs w:val="21"/>
          <w:highlight w:val="none"/>
        </w:rPr>
      </w:pPr>
      <w:r>
        <w:rPr>
          <w:rFonts w:hint="eastAsia" w:ascii="宋体" w:hAnsi="宋体" w:cs="宋体"/>
          <w:b/>
          <w:szCs w:val="21"/>
          <w:highlight w:val="none"/>
        </w:rPr>
        <w:br w:type="page"/>
      </w:r>
    </w:p>
    <w:p>
      <w:pPr>
        <w:adjustRightInd w:val="0"/>
        <w:snapToGrid w:val="0"/>
        <w:spacing w:line="360" w:lineRule="auto"/>
        <w:jc w:val="left"/>
        <w:rPr>
          <w:rFonts w:ascii="宋体" w:hAnsi="宋体" w:cs="宋体"/>
          <w:b/>
          <w:bCs/>
          <w:sz w:val="30"/>
          <w:szCs w:val="30"/>
          <w:highlight w:val="none"/>
        </w:rPr>
      </w:pPr>
      <w:r>
        <w:rPr>
          <w:rFonts w:hint="eastAsia" w:ascii="宋体" w:hAnsi="宋体" w:cs="宋体"/>
          <w:b/>
          <w:bCs/>
          <w:sz w:val="24"/>
          <w:highlight w:val="none"/>
        </w:rPr>
        <w:t>2-2选配件报价表（如果有）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51"/>
        <w:gridCol w:w="1199"/>
        <w:gridCol w:w="1100"/>
        <w:gridCol w:w="1406"/>
        <w:gridCol w:w="838"/>
        <w:gridCol w:w="222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910"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851"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名称</w:t>
            </w:r>
          </w:p>
        </w:tc>
        <w:tc>
          <w:tcPr>
            <w:tcW w:w="119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制造厂家</w:t>
            </w:r>
          </w:p>
        </w:tc>
        <w:tc>
          <w:tcPr>
            <w:tcW w:w="1100"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规格</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和说明</w:t>
            </w:r>
          </w:p>
        </w:tc>
        <w:tc>
          <w:tcPr>
            <w:tcW w:w="1406"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单价</w:t>
            </w:r>
          </w:p>
        </w:tc>
        <w:tc>
          <w:tcPr>
            <w:tcW w:w="838"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2225"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制造厂家地址</w:t>
            </w:r>
          </w:p>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联系电话</w:t>
            </w:r>
          </w:p>
        </w:tc>
        <w:tc>
          <w:tcPr>
            <w:tcW w:w="816"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vAlign w:val="center"/>
          </w:tcPr>
          <w:p>
            <w:pPr>
              <w:adjustRightInd w:val="0"/>
              <w:snapToGrid w:val="0"/>
              <w:spacing w:line="360" w:lineRule="auto"/>
              <w:jc w:val="center"/>
              <w:rPr>
                <w:rFonts w:ascii="宋体" w:hAnsi="宋体" w:cs="宋体"/>
                <w:szCs w:val="21"/>
                <w:highlight w:val="none"/>
              </w:rPr>
            </w:pPr>
          </w:p>
        </w:tc>
        <w:tc>
          <w:tcPr>
            <w:tcW w:w="851" w:type="dxa"/>
            <w:vAlign w:val="center"/>
          </w:tcPr>
          <w:p>
            <w:pPr>
              <w:adjustRightInd w:val="0"/>
              <w:snapToGrid w:val="0"/>
              <w:spacing w:line="360" w:lineRule="auto"/>
              <w:rPr>
                <w:rFonts w:ascii="宋体" w:hAnsi="宋体" w:cs="宋体"/>
                <w:szCs w:val="21"/>
                <w:highlight w:val="none"/>
              </w:rPr>
            </w:pPr>
          </w:p>
        </w:tc>
        <w:tc>
          <w:tcPr>
            <w:tcW w:w="1199" w:type="dxa"/>
            <w:vAlign w:val="center"/>
          </w:tcPr>
          <w:p>
            <w:pPr>
              <w:adjustRightInd w:val="0"/>
              <w:snapToGrid w:val="0"/>
              <w:spacing w:line="360" w:lineRule="auto"/>
              <w:rPr>
                <w:rFonts w:ascii="宋体" w:hAnsi="宋体" w:cs="宋体"/>
                <w:szCs w:val="21"/>
                <w:highlight w:val="none"/>
              </w:rPr>
            </w:pPr>
          </w:p>
        </w:tc>
        <w:tc>
          <w:tcPr>
            <w:tcW w:w="1100" w:type="dxa"/>
            <w:vAlign w:val="center"/>
          </w:tcPr>
          <w:p>
            <w:pPr>
              <w:adjustRightInd w:val="0"/>
              <w:snapToGrid w:val="0"/>
              <w:spacing w:line="360" w:lineRule="auto"/>
              <w:rPr>
                <w:rFonts w:ascii="宋体" w:hAnsi="宋体" w:cs="宋体"/>
                <w:szCs w:val="21"/>
                <w:highlight w:val="none"/>
              </w:rPr>
            </w:pPr>
          </w:p>
        </w:tc>
        <w:tc>
          <w:tcPr>
            <w:tcW w:w="1406" w:type="dxa"/>
            <w:vAlign w:val="center"/>
          </w:tcPr>
          <w:p>
            <w:pPr>
              <w:adjustRightInd w:val="0"/>
              <w:snapToGrid w:val="0"/>
              <w:spacing w:line="360" w:lineRule="auto"/>
              <w:rPr>
                <w:rFonts w:ascii="宋体" w:hAnsi="宋体" w:cs="宋体"/>
                <w:szCs w:val="21"/>
                <w:highlight w:val="none"/>
              </w:rPr>
            </w:pPr>
          </w:p>
        </w:tc>
        <w:tc>
          <w:tcPr>
            <w:tcW w:w="838" w:type="dxa"/>
            <w:vAlign w:val="center"/>
          </w:tcPr>
          <w:p>
            <w:pPr>
              <w:adjustRightInd w:val="0"/>
              <w:snapToGrid w:val="0"/>
              <w:spacing w:line="360" w:lineRule="auto"/>
              <w:jc w:val="center"/>
              <w:rPr>
                <w:rFonts w:ascii="宋体" w:hAnsi="宋体" w:cs="宋体"/>
                <w:szCs w:val="21"/>
                <w:highlight w:val="none"/>
              </w:rPr>
            </w:pPr>
          </w:p>
        </w:tc>
        <w:tc>
          <w:tcPr>
            <w:tcW w:w="2225" w:type="dxa"/>
          </w:tcPr>
          <w:p>
            <w:pPr>
              <w:adjustRightInd w:val="0"/>
              <w:snapToGrid w:val="0"/>
              <w:spacing w:line="360" w:lineRule="auto"/>
              <w:rPr>
                <w:rFonts w:ascii="宋体" w:hAnsi="宋体" w:cs="宋体"/>
                <w:szCs w:val="21"/>
                <w:highlight w:val="none"/>
              </w:rPr>
            </w:pPr>
          </w:p>
        </w:tc>
        <w:tc>
          <w:tcPr>
            <w:tcW w:w="816" w:type="dxa"/>
            <w:vAlign w:val="center"/>
          </w:tcPr>
          <w:p>
            <w:pPr>
              <w:adjustRightInd w:val="0"/>
              <w:snapToGrid w:val="0"/>
              <w:spacing w:line="360" w:lineRule="auto"/>
              <w:rPr>
                <w:rFonts w:ascii="宋体" w:hAnsi="宋体" w:cs="宋体"/>
                <w:szCs w:val="21"/>
                <w:highlight w:val="none"/>
              </w:rPr>
            </w:pPr>
          </w:p>
        </w:tc>
      </w:tr>
    </w:tbl>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注：本表所列货物为耗材长期供应价格，该价格只</w:t>
      </w:r>
      <w:r>
        <w:rPr>
          <w:rFonts w:hint="eastAsia" w:ascii="宋体" w:hAnsi="宋体" w:cs="宋体"/>
          <w:szCs w:val="21"/>
          <w:highlight w:val="none"/>
          <w:lang w:eastAsia="zh-CN"/>
        </w:rPr>
        <w:t>作</w:t>
      </w:r>
      <w:r>
        <w:rPr>
          <w:rFonts w:hint="eastAsia" w:ascii="宋体" w:hAnsi="宋体" w:cs="宋体"/>
          <w:szCs w:val="21"/>
          <w:highlight w:val="none"/>
        </w:rPr>
        <w:t>参考。</w:t>
      </w:r>
    </w:p>
    <w:p>
      <w:pPr>
        <w:adjustRightInd w:val="0"/>
        <w:snapToGrid w:val="0"/>
        <w:spacing w:line="360" w:lineRule="auto"/>
        <w:ind w:firstLine="211"/>
        <w:jc w:val="center"/>
        <w:rPr>
          <w:rFonts w:ascii="宋体" w:hAnsi="宋体" w:cs="宋体"/>
          <w:b/>
          <w:szCs w:val="21"/>
          <w:highlight w:val="none"/>
        </w:rPr>
      </w:pPr>
    </w:p>
    <w:p>
      <w:pPr>
        <w:adjustRightInd w:val="0"/>
        <w:snapToGrid w:val="0"/>
        <w:spacing w:line="360" w:lineRule="auto"/>
        <w:ind w:firstLine="4305" w:firstLineChars="2050"/>
        <w:rPr>
          <w:rFonts w:ascii="宋体" w:hAnsi="宋体" w:cs="宋体"/>
          <w:szCs w:val="21"/>
          <w:highlight w:val="none"/>
        </w:rPr>
      </w:pP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jc w:val="right"/>
        <w:rPr>
          <w:rFonts w:ascii="宋体" w:hAnsi="宋体" w:cs="宋体"/>
          <w:szCs w:val="21"/>
          <w:highlight w:val="none"/>
        </w:rPr>
        <w:sectPr>
          <w:pgSz w:w="11907" w:h="16840"/>
          <w:pgMar w:top="1474" w:right="1587" w:bottom="1474" w:left="1587" w:header="851" w:footer="992" w:gutter="0"/>
          <w:pgNumType w:fmt="decimal"/>
          <w:cols w:space="720" w:num="1"/>
          <w:titlePg/>
        </w:sect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6"/>
        <w:rPr>
          <w:highlight w:val="none"/>
        </w:rPr>
      </w:pPr>
    </w:p>
    <w:p>
      <w:pPr>
        <w:tabs>
          <w:tab w:val="left" w:pos="7665"/>
        </w:tabs>
        <w:spacing w:line="360" w:lineRule="auto"/>
        <w:rPr>
          <w:rFonts w:ascii="宋体" w:hAnsi="宋体" w:cs="宋体"/>
          <w:bCs/>
          <w:iCs/>
          <w:szCs w:val="28"/>
          <w:highlight w:val="none"/>
        </w:rPr>
      </w:pPr>
      <w:r>
        <w:rPr>
          <w:rFonts w:hint="eastAsia" w:ascii="宋体" w:hAnsi="宋体" w:cs="宋体"/>
          <w:b/>
          <w:bCs/>
          <w:sz w:val="24"/>
          <w:highlight w:val="none"/>
        </w:rPr>
        <w:t>3.商务偏离表</w:t>
      </w:r>
    </w:p>
    <w:p>
      <w:pPr>
        <w:adjustRightInd w:val="0"/>
        <w:snapToGrid w:val="0"/>
        <w:spacing w:line="360" w:lineRule="auto"/>
        <w:rPr>
          <w:rFonts w:ascii="宋体" w:hAnsi="宋体" w:cs="宋体"/>
          <w:sz w:val="18"/>
          <w:szCs w:val="18"/>
          <w:highlight w:val="none"/>
        </w:rPr>
      </w:pPr>
      <w:r>
        <w:rPr>
          <w:rFonts w:hint="eastAsia" w:ascii="宋体" w:hAnsi="宋体" w:cs="宋体"/>
          <w:sz w:val="24"/>
          <w:highlight w:val="none"/>
        </w:rPr>
        <w:t xml:space="preserve">             </w:t>
      </w:r>
    </w:p>
    <w:tbl>
      <w:tblPr>
        <w:tblStyle w:val="23"/>
        <w:tblW w:w="9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1682"/>
        <w:gridCol w:w="2997"/>
        <w:gridCol w:w="1559"/>
        <w:gridCol w:w="992"/>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序号</w:t>
            </w:r>
          </w:p>
        </w:tc>
        <w:tc>
          <w:tcPr>
            <w:tcW w:w="1682"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名称</w:t>
            </w:r>
          </w:p>
        </w:tc>
        <w:tc>
          <w:tcPr>
            <w:tcW w:w="2997"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文件合同条款要求</w:t>
            </w:r>
          </w:p>
        </w:tc>
        <w:tc>
          <w:tcPr>
            <w:tcW w:w="1559"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响应文件</w:t>
            </w:r>
          </w:p>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合同条款响应</w:t>
            </w:r>
          </w:p>
        </w:tc>
        <w:tc>
          <w:tcPr>
            <w:tcW w:w="992"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偏离</w:t>
            </w:r>
          </w:p>
        </w:tc>
        <w:tc>
          <w:tcPr>
            <w:tcW w:w="1559"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69"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1</w:t>
            </w:r>
          </w:p>
        </w:tc>
        <w:tc>
          <w:tcPr>
            <w:tcW w:w="1682"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交货安装期</w:t>
            </w: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2</w:t>
            </w:r>
          </w:p>
        </w:tc>
        <w:tc>
          <w:tcPr>
            <w:tcW w:w="1682"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付款方式</w:t>
            </w: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3</w:t>
            </w:r>
          </w:p>
        </w:tc>
        <w:tc>
          <w:tcPr>
            <w:tcW w:w="1682"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质保期</w:t>
            </w: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p>
        </w:tc>
        <w:tc>
          <w:tcPr>
            <w:tcW w:w="1682" w:type="dxa"/>
            <w:vAlign w:val="center"/>
          </w:tcPr>
          <w:p>
            <w:pPr>
              <w:adjustRightInd w:val="0"/>
              <w:snapToGrid w:val="0"/>
              <w:spacing w:line="360" w:lineRule="auto"/>
              <w:jc w:val="center"/>
              <w:rPr>
                <w:rFonts w:ascii="宋体" w:hAnsi="宋体" w:cs="宋体"/>
                <w:bCs/>
                <w:iCs/>
                <w:szCs w:val="24"/>
                <w:highlight w:val="none"/>
              </w:rPr>
            </w:pPr>
            <w:r>
              <w:rPr>
                <w:rFonts w:hint="eastAsia" w:ascii="宋体" w:hAnsi="宋体" w:cs="宋体"/>
                <w:bCs/>
                <w:iCs/>
                <w:szCs w:val="24"/>
                <w:highlight w:val="none"/>
              </w:rPr>
              <w:t>……</w:t>
            </w: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p>
        </w:tc>
        <w:tc>
          <w:tcPr>
            <w:tcW w:w="1682" w:type="dxa"/>
            <w:vAlign w:val="center"/>
          </w:tcPr>
          <w:p>
            <w:pPr>
              <w:adjustRightInd w:val="0"/>
              <w:snapToGrid w:val="0"/>
              <w:spacing w:line="360" w:lineRule="auto"/>
              <w:jc w:val="center"/>
              <w:rPr>
                <w:rFonts w:ascii="宋体" w:hAnsi="宋体" w:cs="宋体"/>
                <w:bCs/>
                <w:iCs/>
                <w:szCs w:val="24"/>
                <w:highlight w:val="none"/>
              </w:rPr>
            </w:pP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p>
        </w:tc>
        <w:tc>
          <w:tcPr>
            <w:tcW w:w="1682" w:type="dxa"/>
            <w:vAlign w:val="center"/>
          </w:tcPr>
          <w:p>
            <w:pPr>
              <w:adjustRightInd w:val="0"/>
              <w:snapToGrid w:val="0"/>
              <w:spacing w:line="360" w:lineRule="auto"/>
              <w:jc w:val="center"/>
              <w:rPr>
                <w:rFonts w:ascii="宋体" w:hAnsi="宋体" w:cs="宋体"/>
                <w:bCs/>
                <w:iCs/>
                <w:szCs w:val="24"/>
                <w:highlight w:val="none"/>
              </w:rPr>
            </w:pP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p>
        </w:tc>
        <w:tc>
          <w:tcPr>
            <w:tcW w:w="1682" w:type="dxa"/>
            <w:vAlign w:val="center"/>
          </w:tcPr>
          <w:p>
            <w:pPr>
              <w:adjustRightInd w:val="0"/>
              <w:snapToGrid w:val="0"/>
              <w:spacing w:line="360" w:lineRule="auto"/>
              <w:jc w:val="center"/>
              <w:rPr>
                <w:rFonts w:ascii="宋体" w:hAnsi="宋体" w:cs="宋体"/>
                <w:bCs/>
                <w:iCs/>
                <w:szCs w:val="24"/>
                <w:highlight w:val="none"/>
              </w:rPr>
            </w:pP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p>
        </w:tc>
        <w:tc>
          <w:tcPr>
            <w:tcW w:w="1682" w:type="dxa"/>
            <w:vAlign w:val="center"/>
          </w:tcPr>
          <w:p>
            <w:pPr>
              <w:adjustRightInd w:val="0"/>
              <w:snapToGrid w:val="0"/>
              <w:spacing w:line="360" w:lineRule="auto"/>
              <w:jc w:val="center"/>
              <w:rPr>
                <w:rFonts w:ascii="宋体" w:hAnsi="宋体" w:cs="宋体"/>
                <w:bCs/>
                <w:iCs/>
                <w:szCs w:val="24"/>
                <w:highlight w:val="none"/>
              </w:rPr>
            </w:pP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jc w:val="center"/>
              <w:rPr>
                <w:rFonts w:ascii="宋体" w:hAnsi="宋体" w:cs="宋体"/>
                <w:bCs/>
                <w:iCs/>
                <w:szCs w:val="24"/>
                <w:highlight w:val="none"/>
              </w:rPr>
            </w:pPr>
          </w:p>
        </w:tc>
        <w:tc>
          <w:tcPr>
            <w:tcW w:w="1682" w:type="dxa"/>
            <w:vAlign w:val="center"/>
          </w:tcPr>
          <w:p>
            <w:pPr>
              <w:adjustRightInd w:val="0"/>
              <w:snapToGrid w:val="0"/>
              <w:spacing w:line="360" w:lineRule="auto"/>
              <w:jc w:val="center"/>
              <w:rPr>
                <w:rFonts w:ascii="宋体" w:hAnsi="宋体" w:cs="宋体"/>
                <w:bCs/>
                <w:iCs/>
                <w:szCs w:val="24"/>
                <w:highlight w:val="none"/>
              </w:rPr>
            </w:pPr>
          </w:p>
        </w:tc>
        <w:tc>
          <w:tcPr>
            <w:tcW w:w="2997"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c>
          <w:tcPr>
            <w:tcW w:w="992" w:type="dxa"/>
            <w:vAlign w:val="center"/>
          </w:tcPr>
          <w:p>
            <w:pPr>
              <w:adjustRightInd w:val="0"/>
              <w:snapToGrid w:val="0"/>
              <w:spacing w:line="360" w:lineRule="auto"/>
              <w:jc w:val="center"/>
              <w:rPr>
                <w:rFonts w:ascii="宋体" w:hAnsi="宋体" w:cs="宋体"/>
                <w:bCs/>
                <w:iCs/>
                <w:szCs w:val="24"/>
                <w:highlight w:val="none"/>
              </w:rPr>
            </w:pPr>
          </w:p>
        </w:tc>
        <w:tc>
          <w:tcPr>
            <w:tcW w:w="1559" w:type="dxa"/>
            <w:vAlign w:val="center"/>
          </w:tcPr>
          <w:p>
            <w:pPr>
              <w:adjustRightInd w:val="0"/>
              <w:snapToGrid w:val="0"/>
              <w:spacing w:line="360" w:lineRule="auto"/>
              <w:jc w:val="center"/>
              <w:rPr>
                <w:rFonts w:ascii="宋体" w:hAnsi="宋体" w:cs="宋体"/>
                <w:bCs/>
                <w:iCs/>
                <w:szCs w:val="24"/>
                <w:highlight w:val="none"/>
              </w:rPr>
            </w:pPr>
          </w:p>
        </w:tc>
      </w:tr>
    </w:tbl>
    <w:p>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注明：有偏离（正偏离/负偏离）或无偏离（完全响应）。</w:t>
      </w:r>
    </w:p>
    <w:p>
      <w:pPr>
        <w:adjustRightInd w:val="0"/>
        <w:snapToGrid w:val="0"/>
        <w:spacing w:line="360" w:lineRule="auto"/>
        <w:ind w:firstLine="371" w:firstLineChars="177"/>
        <w:rPr>
          <w:rFonts w:ascii="宋体" w:hAnsi="宋体" w:cs="宋体"/>
          <w:szCs w:val="21"/>
          <w:highlight w:val="none"/>
        </w:rPr>
      </w:pPr>
      <w:r>
        <w:rPr>
          <w:rFonts w:hint="eastAsia" w:ascii="宋体" w:hAnsi="宋体" w:cs="宋体"/>
          <w:szCs w:val="21"/>
          <w:highlight w:val="none"/>
        </w:rPr>
        <w:t>负偏离为不响应，为无效文件。</w:t>
      </w:r>
    </w:p>
    <w:p>
      <w:pPr>
        <w:adjustRightInd w:val="0"/>
        <w:snapToGrid w:val="0"/>
        <w:spacing w:line="360" w:lineRule="auto"/>
        <w:ind w:firstLine="371" w:firstLineChars="177"/>
        <w:rPr>
          <w:rFonts w:ascii="宋体" w:hAnsi="宋体" w:cs="宋体"/>
          <w:szCs w:val="21"/>
          <w:highlight w:val="none"/>
        </w:rPr>
      </w:pPr>
    </w:p>
    <w:p>
      <w:pPr>
        <w:pStyle w:val="2"/>
        <w:rPr>
          <w:rFonts w:ascii="宋体" w:hAnsi="宋体" w:eastAsia="宋体" w:cs="宋体"/>
          <w:szCs w:val="21"/>
          <w:highlight w:val="none"/>
        </w:rPr>
      </w:pPr>
    </w:p>
    <w:p>
      <w:pPr>
        <w:rPr>
          <w:highlight w:val="none"/>
        </w:rPr>
      </w:pP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ind w:firstLine="247" w:firstLineChars="118"/>
        <w:jc w:val="right"/>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7665"/>
        </w:tabs>
        <w:spacing w:line="360" w:lineRule="auto"/>
        <w:ind w:firstLine="4800" w:firstLineChars="2000"/>
        <w:rPr>
          <w:rFonts w:ascii="宋体" w:hAnsi="宋体" w:cs="宋体"/>
          <w:sz w:val="24"/>
          <w:highlight w:val="none"/>
        </w:rPr>
      </w:pPr>
    </w:p>
    <w:p>
      <w:pPr>
        <w:pStyle w:val="10"/>
        <w:rPr>
          <w:rFonts w:ascii="宋体" w:hAnsi="宋体" w:cs="宋体"/>
          <w:bCs/>
          <w:iCs/>
          <w:sz w:val="24"/>
          <w:highlight w:val="none"/>
          <w:u w:val="singl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titlePg/>
        </w:sectPr>
      </w:pPr>
    </w:p>
    <w:p>
      <w:pPr>
        <w:tabs>
          <w:tab w:val="left" w:pos="7665"/>
        </w:tabs>
        <w:spacing w:line="360" w:lineRule="auto"/>
        <w:rPr>
          <w:rFonts w:ascii="宋体" w:hAnsi="宋体" w:cs="宋体"/>
          <w:b/>
          <w:bCs/>
          <w:sz w:val="24"/>
          <w:highlight w:val="none"/>
        </w:rPr>
      </w:pPr>
      <w:r>
        <w:rPr>
          <w:rFonts w:hint="eastAsia" w:ascii="宋体" w:hAnsi="宋体" w:cs="宋体"/>
          <w:b/>
          <w:bCs/>
          <w:sz w:val="24"/>
          <w:highlight w:val="none"/>
        </w:rPr>
        <w:t>4.技术部分（技术方案）</w:t>
      </w:r>
    </w:p>
    <w:p>
      <w:pPr>
        <w:snapToGrid w:val="0"/>
        <w:spacing w:line="500" w:lineRule="exact"/>
        <w:ind w:firstLine="420" w:firstLineChars="200"/>
        <w:textAlignment w:val="baseline"/>
        <w:rPr>
          <w:rStyle w:val="42"/>
          <w:rFonts w:ascii="宋体" w:hAnsi="宋体" w:cs="宋体"/>
          <w:szCs w:val="21"/>
          <w:highlight w:val="none"/>
        </w:rPr>
      </w:pPr>
    </w:p>
    <w:p>
      <w:pPr>
        <w:spacing w:line="360" w:lineRule="auto"/>
        <w:ind w:firstLine="420" w:firstLineChars="200"/>
        <w:textAlignment w:val="baseline"/>
        <w:rPr>
          <w:rStyle w:val="42"/>
          <w:rFonts w:ascii="宋体" w:hAnsi="宋体" w:cs="宋体"/>
          <w:sz w:val="24"/>
          <w:highlight w:val="none"/>
        </w:rPr>
      </w:pPr>
      <w:bookmarkStart w:id="131" w:name="_Toc5164"/>
      <w:r>
        <w:rPr>
          <w:rFonts w:hint="eastAsia" w:ascii="宋体" w:hAnsi="宋体" w:cs="宋体"/>
          <w:szCs w:val="21"/>
          <w:highlight w:val="none"/>
        </w:rPr>
        <w:t>依照文件采购内容及要求及评标方法中各项条款的要求，编制响应方案，因自身原因理解</w:t>
      </w:r>
      <w:r>
        <w:rPr>
          <w:rFonts w:hint="eastAsia" w:ascii="宋体" w:hAnsi="宋体" w:cs="宋体"/>
          <w:szCs w:val="21"/>
          <w:highlight w:val="none"/>
          <w:lang w:eastAsia="zh-CN"/>
        </w:rPr>
        <w:t>不够</w:t>
      </w:r>
      <w:r>
        <w:rPr>
          <w:rFonts w:hint="eastAsia" w:ascii="宋体" w:hAnsi="宋体" w:cs="宋体"/>
          <w:szCs w:val="21"/>
          <w:highlight w:val="none"/>
        </w:rPr>
        <w:t>缺项漏项</w:t>
      </w:r>
      <w:r>
        <w:rPr>
          <w:rFonts w:hint="eastAsia" w:ascii="宋体" w:hAnsi="宋体" w:cs="宋体"/>
          <w:szCs w:val="21"/>
          <w:highlight w:val="none"/>
          <w:lang w:eastAsia="zh-CN"/>
        </w:rPr>
        <w:t>等</w:t>
      </w:r>
      <w:r>
        <w:rPr>
          <w:rFonts w:hint="eastAsia" w:ascii="宋体" w:hAnsi="宋体" w:cs="宋体"/>
          <w:szCs w:val="21"/>
          <w:highlight w:val="none"/>
        </w:rPr>
        <w:t>扣分，供应商自行承担其后果。（格式自拟）</w:t>
      </w:r>
      <w:bookmarkEnd w:id="131"/>
    </w:p>
    <w:p>
      <w:pPr>
        <w:pStyle w:val="45"/>
        <w:widowControl/>
        <w:tabs>
          <w:tab w:val="left" w:pos="576"/>
        </w:tabs>
        <w:spacing w:before="0" w:after="0" w:line="416" w:lineRule="atLeast"/>
        <w:rPr>
          <w:rStyle w:val="42"/>
          <w:rFonts w:ascii="宋体" w:hAnsi="宋体" w:cs="宋体"/>
          <w:b w:val="0"/>
          <w:spacing w:val="4"/>
          <w:sz w:val="24"/>
          <w:highlight w:val="none"/>
        </w:rPr>
      </w:pPr>
    </w:p>
    <w:p>
      <w:pPr>
        <w:pStyle w:val="45"/>
        <w:widowControl/>
        <w:tabs>
          <w:tab w:val="left" w:pos="576"/>
        </w:tabs>
        <w:spacing w:before="0" w:after="0" w:line="416" w:lineRule="atLeast"/>
        <w:jc w:val="center"/>
        <w:rPr>
          <w:rStyle w:val="42"/>
          <w:rFonts w:ascii="宋体" w:hAnsi="宋体" w:cs="宋体"/>
          <w:b w:val="0"/>
          <w:spacing w:val="4"/>
          <w:sz w:val="24"/>
          <w:highlight w:val="none"/>
        </w:rPr>
      </w:pPr>
    </w:p>
    <w:p>
      <w:pPr>
        <w:pStyle w:val="13"/>
        <w:adjustRightInd w:val="0"/>
        <w:snapToGrid w:val="0"/>
        <w:spacing w:line="360" w:lineRule="auto"/>
        <w:rPr>
          <w:rFonts w:hAnsi="宋体" w:cs="宋体"/>
          <w:b/>
          <w:bCs/>
          <w:sz w:val="24"/>
          <w:highlight w:val="none"/>
        </w:rPr>
      </w:pPr>
      <w:r>
        <w:rPr>
          <w:rFonts w:hint="eastAsia" w:hAnsi="宋体" w:cs="宋体"/>
          <w:b/>
          <w:bCs/>
          <w:sz w:val="24"/>
          <w:highlight w:val="none"/>
        </w:rPr>
        <w:t>附件</w:t>
      </w:r>
    </w:p>
    <w:p>
      <w:pPr>
        <w:pStyle w:val="13"/>
        <w:adjustRightInd w:val="0"/>
        <w:snapToGrid w:val="0"/>
        <w:spacing w:line="360" w:lineRule="auto"/>
        <w:jc w:val="center"/>
        <w:rPr>
          <w:rFonts w:hAnsi="宋体" w:cs="宋体"/>
          <w:b/>
          <w:sz w:val="32"/>
          <w:szCs w:val="32"/>
          <w:highlight w:val="none"/>
        </w:rPr>
      </w:pPr>
      <w:r>
        <w:rPr>
          <w:rFonts w:hint="eastAsia" w:hAnsi="宋体" w:cs="宋体"/>
          <w:b/>
          <w:bCs/>
          <w:sz w:val="24"/>
          <w:highlight w:val="none"/>
        </w:rPr>
        <w:t>规格、技术参数偏离表</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93"/>
        <w:gridCol w:w="638"/>
        <w:gridCol w:w="2030"/>
        <w:gridCol w:w="2030"/>
        <w:gridCol w:w="2115"/>
        <w:gridCol w:w="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r>
              <w:rPr>
                <w:rFonts w:hint="eastAsia" w:ascii="宋体" w:hAnsi="宋体" w:cs="宋体"/>
                <w:szCs w:val="24"/>
                <w:highlight w:val="none"/>
              </w:rPr>
              <w:t>序号</w:t>
            </w:r>
          </w:p>
        </w:tc>
        <w:tc>
          <w:tcPr>
            <w:tcW w:w="638"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服务名称</w:t>
            </w:r>
          </w:p>
        </w:tc>
        <w:tc>
          <w:tcPr>
            <w:tcW w:w="2030"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4"/>
                <w:highlight w:val="none"/>
              </w:rPr>
              <w:t>文件要求规格（</w:t>
            </w:r>
            <w:r>
              <w:rPr>
                <w:rFonts w:hint="eastAsia" w:ascii="宋体" w:hAnsi="宋体" w:cs="宋体"/>
                <w:szCs w:val="21"/>
                <w:highlight w:val="none"/>
              </w:rPr>
              <w:t>品牌、型号、规格参数</w:t>
            </w:r>
            <w:r>
              <w:rPr>
                <w:rFonts w:hint="eastAsia" w:ascii="宋体" w:hAnsi="宋体" w:cs="宋体"/>
                <w:szCs w:val="24"/>
                <w:highlight w:val="none"/>
              </w:rPr>
              <w:t>）</w:t>
            </w:r>
          </w:p>
        </w:tc>
        <w:tc>
          <w:tcPr>
            <w:tcW w:w="2030" w:type="dxa"/>
            <w:vAlign w:val="center"/>
          </w:tcPr>
          <w:p>
            <w:pPr>
              <w:adjustRightInd w:val="0"/>
              <w:snapToGrid w:val="0"/>
              <w:spacing w:line="360" w:lineRule="auto"/>
              <w:jc w:val="center"/>
              <w:rPr>
                <w:rFonts w:ascii="宋体" w:hAnsi="宋体" w:cs="宋体"/>
                <w:szCs w:val="24"/>
                <w:highlight w:val="none"/>
              </w:rPr>
            </w:pPr>
            <w:r>
              <w:rPr>
                <w:rFonts w:hint="eastAsia" w:ascii="宋体" w:hAnsi="宋体" w:cs="宋体"/>
                <w:szCs w:val="24"/>
                <w:highlight w:val="none"/>
              </w:rPr>
              <w:t>响应文件规格（</w:t>
            </w:r>
            <w:r>
              <w:rPr>
                <w:rFonts w:hint="eastAsia" w:ascii="宋体" w:hAnsi="宋体" w:cs="宋体"/>
                <w:szCs w:val="21"/>
                <w:highlight w:val="none"/>
              </w:rPr>
              <w:t>品牌、型号、规格参数</w:t>
            </w:r>
            <w:r>
              <w:rPr>
                <w:rFonts w:hint="eastAsia" w:ascii="宋体" w:hAnsi="宋体" w:cs="宋体"/>
                <w:szCs w:val="24"/>
                <w:highlight w:val="none"/>
              </w:rPr>
              <w:t>）</w:t>
            </w:r>
          </w:p>
        </w:tc>
        <w:tc>
          <w:tcPr>
            <w:tcW w:w="2115" w:type="dxa"/>
            <w:vAlign w:val="center"/>
          </w:tcPr>
          <w:p>
            <w:pPr>
              <w:adjustRightInd w:val="0"/>
              <w:snapToGrid w:val="0"/>
              <w:spacing w:line="360" w:lineRule="auto"/>
              <w:jc w:val="center"/>
              <w:rPr>
                <w:rFonts w:ascii="宋体" w:hAnsi="宋体" w:cs="宋体"/>
                <w:szCs w:val="24"/>
                <w:highlight w:val="none"/>
              </w:rPr>
            </w:pPr>
            <w:r>
              <w:rPr>
                <w:rFonts w:hint="eastAsia" w:ascii="宋体" w:hAnsi="宋体" w:cs="宋体"/>
                <w:szCs w:val="24"/>
                <w:highlight w:val="none"/>
              </w:rPr>
              <w:t>偏离（正偏离/负偏离/</w:t>
            </w:r>
            <w:r>
              <w:rPr>
                <w:rFonts w:hint="eastAsia" w:ascii="宋体" w:hAnsi="宋体" w:cs="宋体"/>
                <w:szCs w:val="21"/>
                <w:highlight w:val="none"/>
              </w:rPr>
              <w:t>完全响应</w:t>
            </w:r>
            <w:r>
              <w:rPr>
                <w:rFonts w:hint="eastAsia" w:ascii="宋体" w:hAnsi="宋体" w:cs="宋体"/>
                <w:szCs w:val="24"/>
                <w:highlight w:val="none"/>
              </w:rPr>
              <w:t>）</w:t>
            </w:r>
          </w:p>
        </w:tc>
        <w:tc>
          <w:tcPr>
            <w:tcW w:w="616" w:type="dxa"/>
            <w:vAlign w:val="center"/>
          </w:tcPr>
          <w:p>
            <w:pPr>
              <w:adjustRightInd w:val="0"/>
              <w:snapToGrid w:val="0"/>
              <w:spacing w:line="360" w:lineRule="auto"/>
              <w:jc w:val="center"/>
              <w:rPr>
                <w:rFonts w:ascii="宋体" w:hAnsi="宋体" w:cs="宋体"/>
                <w:szCs w:val="24"/>
                <w:highlight w:val="none"/>
              </w:rPr>
            </w:pPr>
            <w:r>
              <w:rPr>
                <w:rFonts w:hint="eastAsia" w:ascii="宋体" w:hAnsi="宋体" w:cs="宋体"/>
                <w:szCs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3" w:hRule="atLeas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93" w:type="dxa"/>
            <w:vAlign w:val="center"/>
          </w:tcPr>
          <w:p>
            <w:pPr>
              <w:adjustRightInd w:val="0"/>
              <w:snapToGrid w:val="0"/>
              <w:spacing w:line="360" w:lineRule="auto"/>
              <w:jc w:val="center"/>
              <w:rPr>
                <w:rFonts w:ascii="宋体" w:hAnsi="宋体" w:cs="宋体"/>
                <w:szCs w:val="24"/>
                <w:highlight w:val="none"/>
              </w:rPr>
            </w:pPr>
          </w:p>
        </w:tc>
        <w:tc>
          <w:tcPr>
            <w:tcW w:w="638"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030" w:type="dxa"/>
            <w:vAlign w:val="center"/>
          </w:tcPr>
          <w:p>
            <w:pPr>
              <w:adjustRightInd w:val="0"/>
              <w:snapToGrid w:val="0"/>
              <w:spacing w:line="360" w:lineRule="auto"/>
              <w:jc w:val="center"/>
              <w:rPr>
                <w:rFonts w:ascii="宋体" w:hAnsi="宋体" w:cs="宋体"/>
                <w:szCs w:val="24"/>
                <w:highlight w:val="none"/>
              </w:rPr>
            </w:pPr>
          </w:p>
        </w:tc>
        <w:tc>
          <w:tcPr>
            <w:tcW w:w="2115" w:type="dxa"/>
            <w:vAlign w:val="center"/>
          </w:tcPr>
          <w:p>
            <w:pPr>
              <w:adjustRightInd w:val="0"/>
              <w:snapToGrid w:val="0"/>
              <w:spacing w:line="360" w:lineRule="auto"/>
              <w:jc w:val="center"/>
              <w:rPr>
                <w:rFonts w:ascii="宋体" w:hAnsi="宋体" w:cs="宋体"/>
                <w:szCs w:val="24"/>
                <w:highlight w:val="none"/>
              </w:rPr>
            </w:pPr>
          </w:p>
        </w:tc>
        <w:tc>
          <w:tcPr>
            <w:tcW w:w="616" w:type="dxa"/>
            <w:vAlign w:val="center"/>
          </w:tcPr>
          <w:p>
            <w:pPr>
              <w:adjustRightInd w:val="0"/>
              <w:snapToGrid w:val="0"/>
              <w:spacing w:line="360" w:lineRule="auto"/>
              <w:jc w:val="center"/>
              <w:rPr>
                <w:rFonts w:ascii="宋体" w:hAnsi="宋体" w:cs="宋体"/>
                <w:szCs w:val="24"/>
                <w:highlight w:val="none"/>
              </w:rPr>
            </w:pPr>
          </w:p>
        </w:tc>
      </w:tr>
    </w:tbl>
    <w:p>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注明：有偏离（正偏离/负偏离）或无偏离（完全响应）。</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正偏离指标须后附相关佐证材料，无佐证材料者视为无偏离或负偏离。</w:t>
      </w:r>
    </w:p>
    <w:p>
      <w:pPr>
        <w:pStyle w:val="13"/>
        <w:adjustRightInd w:val="0"/>
        <w:snapToGrid w:val="0"/>
        <w:spacing w:line="360" w:lineRule="auto"/>
        <w:rPr>
          <w:rFonts w:hAnsi="宋体" w:cs="宋体"/>
          <w:b/>
          <w:sz w:val="32"/>
          <w:szCs w:val="32"/>
          <w:highlight w:val="none"/>
        </w:rPr>
      </w:pP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（公章）</w:t>
      </w:r>
    </w:p>
    <w:p>
      <w:pPr>
        <w:adjustRightInd w:val="0"/>
        <w:snapToGrid w:val="0"/>
        <w:spacing w:line="360" w:lineRule="auto"/>
        <w:ind w:firstLine="247" w:firstLineChars="118"/>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adjustRightInd w:val="0"/>
        <w:snapToGrid w:val="0"/>
        <w:spacing w:line="360" w:lineRule="auto"/>
        <w:jc w:val="right"/>
        <w:rPr>
          <w:rFonts w:ascii="宋体" w:hAnsi="宋体" w:cs="宋体"/>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5"/>
        <w:widowControl/>
        <w:tabs>
          <w:tab w:val="left" w:pos="576"/>
        </w:tabs>
        <w:spacing w:before="0" w:after="0" w:line="416" w:lineRule="atLeast"/>
        <w:jc w:val="center"/>
        <w:rPr>
          <w:rStyle w:val="42"/>
          <w:rFonts w:ascii="宋体" w:hAnsi="宋体" w:cs="宋体"/>
          <w:sz w:val="24"/>
          <w:highlight w:val="none"/>
          <w:u w:val="single"/>
        </w:rPr>
      </w:pPr>
      <w:r>
        <w:rPr>
          <w:rStyle w:val="42"/>
          <w:rFonts w:hint="eastAsia" w:ascii="宋体" w:hAnsi="宋体" w:cs="宋体"/>
          <w:b w:val="0"/>
          <w:szCs w:val="21"/>
          <w:highlight w:val="none"/>
        </w:rPr>
        <w:br w:type="page"/>
      </w:r>
      <w:r>
        <w:rPr>
          <w:rFonts w:hint="eastAsia" w:ascii="宋体" w:hAnsi="宋体" w:eastAsia="宋体" w:cs="宋体"/>
          <w:bCs/>
          <w:sz w:val="24"/>
          <w:highlight w:val="none"/>
        </w:rPr>
        <w:t>类似业绩一览表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14"/>
        <w:gridCol w:w="2065"/>
        <w:gridCol w:w="1539"/>
        <w:gridCol w:w="190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完成时间</w:t>
            </w: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合同金额</w:t>
            </w: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14"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2065"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539"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90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c>
          <w:tcPr>
            <w:tcW w:w="1036" w:type="dxa"/>
            <w:vAlign w:val="center"/>
          </w:tcPr>
          <w:p>
            <w:pPr>
              <w:tabs>
                <w:tab w:val="left" w:pos="720"/>
                <w:tab w:val="left" w:pos="8364"/>
              </w:tabs>
              <w:adjustRightInd w:val="0"/>
              <w:snapToGrid w:val="0"/>
              <w:spacing w:line="360" w:lineRule="auto"/>
              <w:jc w:val="center"/>
              <w:rPr>
                <w:rFonts w:ascii="宋体" w:hAnsi="宋体" w:cs="宋体"/>
                <w:sz w:val="24"/>
                <w:szCs w:val="24"/>
                <w:highlight w:val="none"/>
              </w:rPr>
            </w:pPr>
          </w:p>
        </w:tc>
      </w:tr>
    </w:tbl>
    <w:p>
      <w:pPr>
        <w:pStyle w:val="16"/>
        <w:widowControl/>
        <w:textAlignment w:val="baseline"/>
        <w:rPr>
          <w:rStyle w:val="42"/>
          <w:rFonts w:ascii="宋体" w:hAnsi="宋体" w:cs="宋体"/>
          <w:sz w:val="24"/>
          <w:highlight w:val="none"/>
        </w:rPr>
      </w:pPr>
      <w:r>
        <w:rPr>
          <w:rStyle w:val="42"/>
          <w:rFonts w:hint="eastAsia" w:ascii="宋体" w:hAnsi="宋体" w:cs="宋体"/>
          <w:sz w:val="24"/>
          <w:highlight w:val="none"/>
        </w:rPr>
        <w:t>注：提供2017年至今类似业绩证明文件（以采购合同签订时间为准）投标人提供的业绩证明文件应为签订的采购合同复印件加盖公章为准。</w:t>
      </w:r>
    </w:p>
    <w:p>
      <w:pPr>
        <w:snapToGrid w:val="0"/>
        <w:spacing w:line="360" w:lineRule="auto"/>
        <w:textAlignment w:val="baseline"/>
        <w:rPr>
          <w:rFonts w:ascii="宋体" w:hAnsi="宋体" w:cs="宋体"/>
          <w:bCs/>
          <w:sz w:val="24"/>
          <w:highlight w:val="none"/>
        </w:rPr>
      </w:pPr>
      <w:r>
        <w:rPr>
          <w:rFonts w:hint="eastAsia" w:ascii="宋体" w:hAnsi="宋体" w:cs="宋体"/>
          <w:bCs/>
          <w:sz w:val="24"/>
          <w:highlight w:val="none"/>
        </w:rPr>
        <w:br w:type="page"/>
      </w:r>
      <w:r>
        <w:rPr>
          <w:rFonts w:hint="eastAsia" w:ascii="宋体" w:hAnsi="宋体" w:cs="宋体"/>
          <w:b/>
          <w:bCs/>
          <w:sz w:val="24"/>
          <w:highlight w:val="none"/>
        </w:rPr>
        <w:t>6.供应商认为需要补充</w:t>
      </w:r>
      <w:r>
        <w:rPr>
          <w:rFonts w:hint="eastAsia" w:ascii="宋体" w:hAnsi="宋体" w:cs="宋体"/>
          <w:b/>
          <w:bCs/>
          <w:sz w:val="24"/>
          <w:highlight w:val="none"/>
          <w:lang w:eastAsia="zh-CN"/>
        </w:rPr>
        <w:t>的其他</w:t>
      </w:r>
      <w:r>
        <w:rPr>
          <w:rFonts w:hint="eastAsia" w:ascii="宋体" w:hAnsi="宋体" w:cs="宋体"/>
          <w:b/>
          <w:bCs/>
          <w:sz w:val="24"/>
          <w:highlight w:val="none"/>
        </w:rPr>
        <w:t>资料</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sectPr>
          <w:pgSz w:w="11907" w:h="16840"/>
          <w:pgMar w:top="1474" w:right="1587" w:bottom="1474" w:left="1587" w:header="851" w:footer="992" w:gutter="0"/>
          <w:pgNumType w:fmt="decimal"/>
          <w:cols w:space="720" w:num="1"/>
          <w:docGrid w:linePitch="312" w:charSpace="0"/>
        </w:sectPr>
      </w:pPr>
    </w:p>
    <w:p>
      <w:pPr>
        <w:jc w:val="left"/>
        <w:rPr>
          <w:rFonts w:ascii="宋体" w:hAnsi="宋体" w:cs="宋体"/>
          <w:b/>
          <w:bCs/>
          <w:sz w:val="24"/>
          <w:highlight w:val="none"/>
        </w:rPr>
      </w:pPr>
      <w:bookmarkStart w:id="132" w:name="_Toc13350"/>
      <w:r>
        <w:rPr>
          <w:rFonts w:hint="eastAsia" w:ascii="宋体" w:hAnsi="宋体" w:cs="宋体"/>
          <w:b/>
          <w:bCs/>
          <w:sz w:val="24"/>
          <w:highlight w:val="none"/>
        </w:rPr>
        <w:t>7.投标供应商满足政府采购相关优惠政策的声明或证明材料</w:t>
      </w:r>
      <w:bookmarkEnd w:id="132"/>
    </w:p>
    <w:p>
      <w:pPr>
        <w:adjustRightInd w:val="0"/>
        <w:snapToGrid w:val="0"/>
        <w:spacing w:line="360" w:lineRule="auto"/>
        <w:ind w:firstLine="720" w:firstLineChars="300"/>
        <w:rPr>
          <w:rFonts w:ascii="宋体" w:hAnsi="宋体" w:cs="宋体"/>
          <w:sz w:val="24"/>
          <w:highlight w:val="none"/>
        </w:rPr>
      </w:pPr>
    </w:p>
    <w:p>
      <w:pPr>
        <w:adjustRightInd w:val="0"/>
        <w:snapToGrid w:val="0"/>
        <w:spacing w:line="360" w:lineRule="auto"/>
        <w:ind w:firstLine="720" w:firstLineChars="300"/>
        <w:rPr>
          <w:rFonts w:ascii="宋体" w:hAnsi="宋体" w:cs="宋体"/>
          <w:sz w:val="24"/>
          <w:highlight w:val="none"/>
        </w:rPr>
      </w:pPr>
    </w:p>
    <w:p>
      <w:pPr>
        <w:adjustRightInd w:val="0"/>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说明：</w:t>
      </w:r>
    </w:p>
    <w:p>
      <w:pPr>
        <w:adjustRightInd w:val="0"/>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（1）中小企业声明函格式见附件；</w:t>
      </w:r>
    </w:p>
    <w:p>
      <w:pPr>
        <w:adjustRightInd w:val="0"/>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（2）残疾人福利性单位声明函格式见附件；</w:t>
      </w:r>
    </w:p>
    <w:p>
      <w:pPr>
        <w:adjustRightInd w:val="0"/>
        <w:snapToGrid w:val="0"/>
        <w:spacing w:line="360" w:lineRule="auto"/>
        <w:ind w:firstLine="720" w:firstLineChars="300"/>
        <w:rPr>
          <w:rFonts w:ascii="宋体" w:hAnsi="宋体" w:cs="宋体"/>
          <w:b/>
          <w:sz w:val="24"/>
          <w:szCs w:val="24"/>
          <w:highlight w:val="none"/>
        </w:rPr>
      </w:pPr>
      <w:r>
        <w:rPr>
          <w:rFonts w:hint="eastAsia" w:ascii="宋体" w:hAnsi="宋体" w:cs="宋体"/>
          <w:sz w:val="24"/>
          <w:highlight w:val="none"/>
        </w:rPr>
        <w:t>（3）监狱企业证明文件见附件；</w:t>
      </w: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b/>
          <w:sz w:val="24"/>
          <w:szCs w:val="24"/>
          <w:highlight w:val="none"/>
        </w:rPr>
      </w:pPr>
    </w:p>
    <w:p>
      <w:pPr>
        <w:pStyle w:val="46"/>
        <w:spacing w:line="400" w:lineRule="exact"/>
        <w:rPr>
          <w:rFonts w:ascii="宋体" w:hAnsi="宋体" w:cs="宋体"/>
          <w:sz w:val="24"/>
          <w:szCs w:val="24"/>
          <w:highlight w:val="none"/>
        </w:rPr>
        <w:sectPr>
          <w:pgSz w:w="11907" w:h="16840"/>
          <w:pgMar w:top="1440" w:right="1474" w:bottom="1440" w:left="1474" w:header="851" w:footer="992" w:gutter="0"/>
          <w:pgNumType w:fmt="decimal"/>
          <w:cols w:space="720" w:num="1"/>
          <w:docGrid w:linePitch="312" w:charSpace="0"/>
        </w:sectPr>
      </w:pPr>
    </w:p>
    <w:p>
      <w:pPr>
        <w:widowControl/>
        <w:jc w:val="left"/>
        <w:rPr>
          <w:rFonts w:ascii="宋体" w:hAnsi="宋体" w:cs="宋体"/>
          <w:sz w:val="24"/>
          <w:highlight w:val="none"/>
        </w:rPr>
      </w:pPr>
      <w:r>
        <w:rPr>
          <w:rFonts w:hint="eastAsia" w:ascii="宋体" w:hAnsi="宋体" w:cs="宋体"/>
          <w:sz w:val="24"/>
          <w:highlight w:val="none"/>
        </w:rPr>
        <w:t xml:space="preserve">附件1                  </w:t>
      </w:r>
    </w:p>
    <w:p>
      <w:pPr>
        <w:widowControl/>
        <w:jc w:val="left"/>
        <w:rPr>
          <w:rFonts w:ascii="宋体" w:hAnsi="宋体" w:cs="宋体"/>
          <w:sz w:val="24"/>
          <w:highlight w:val="none"/>
        </w:rPr>
      </w:pPr>
    </w:p>
    <w:p>
      <w:pPr>
        <w:adjustRightInd w:val="0"/>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请小型微型企业价格优惠资格认定表（如有）</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401"/>
        <w:gridCol w:w="1262"/>
        <w:gridCol w:w="1403"/>
        <w:gridCol w:w="1285"/>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506"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企业名称</w:t>
            </w:r>
          </w:p>
        </w:tc>
        <w:tc>
          <w:tcPr>
            <w:tcW w:w="2663" w:type="dxa"/>
            <w:gridSpan w:val="2"/>
            <w:noWrap/>
            <w:vAlign w:val="bottom"/>
          </w:tcPr>
          <w:p>
            <w:pPr>
              <w:adjustRightInd w:val="0"/>
              <w:snapToGrid w:val="0"/>
              <w:spacing w:line="360" w:lineRule="auto"/>
              <w:jc w:val="center"/>
              <w:rPr>
                <w:rFonts w:ascii="宋体" w:hAnsi="宋体" w:cs="宋体"/>
                <w:szCs w:val="21"/>
                <w:highlight w:val="none"/>
              </w:rPr>
            </w:pPr>
          </w:p>
        </w:tc>
        <w:tc>
          <w:tcPr>
            <w:tcW w:w="1403"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企业编码</w:t>
            </w:r>
          </w:p>
        </w:tc>
        <w:tc>
          <w:tcPr>
            <w:tcW w:w="3328" w:type="dxa"/>
            <w:gridSpan w:val="2"/>
            <w:noWrap/>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506" w:type="dxa"/>
            <w:vMerge w:val="restart"/>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所属行业</w:t>
            </w:r>
          </w:p>
        </w:tc>
        <w:tc>
          <w:tcPr>
            <w:tcW w:w="7394" w:type="dxa"/>
            <w:gridSpan w:val="5"/>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是否为国家限制和禁止行业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506" w:type="dxa"/>
            <w:vMerge w:val="continue"/>
            <w:noWrap/>
            <w:vAlign w:val="center"/>
          </w:tcPr>
          <w:p>
            <w:pPr>
              <w:adjustRightInd w:val="0"/>
              <w:snapToGrid w:val="0"/>
              <w:spacing w:line="360" w:lineRule="auto"/>
              <w:jc w:val="center"/>
              <w:rPr>
                <w:rFonts w:ascii="宋体" w:hAnsi="宋体" w:cs="宋体"/>
                <w:szCs w:val="21"/>
                <w:highlight w:val="none"/>
              </w:rPr>
            </w:pPr>
          </w:p>
        </w:tc>
        <w:tc>
          <w:tcPr>
            <w:tcW w:w="7394" w:type="dxa"/>
            <w:gridSpan w:val="5"/>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具体行业类别：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exact"/>
          <w:jc w:val="center"/>
        </w:trPr>
        <w:tc>
          <w:tcPr>
            <w:tcW w:w="1506" w:type="dxa"/>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所属年度营业收入</w:t>
            </w:r>
          </w:p>
        </w:tc>
        <w:tc>
          <w:tcPr>
            <w:tcW w:w="7394" w:type="dxa"/>
            <w:gridSpan w:val="5"/>
            <w:noWrap/>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506" w:type="dxa"/>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所属年度资产总额</w:t>
            </w:r>
          </w:p>
        </w:tc>
        <w:tc>
          <w:tcPr>
            <w:tcW w:w="7394" w:type="dxa"/>
            <w:gridSpan w:val="5"/>
            <w:noWrap/>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506" w:type="dxa"/>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年初数</w:t>
            </w:r>
          </w:p>
        </w:tc>
        <w:tc>
          <w:tcPr>
            <w:tcW w:w="1401" w:type="dxa"/>
            <w:noWrap/>
            <w:vAlign w:val="center"/>
          </w:tcPr>
          <w:p>
            <w:pPr>
              <w:adjustRightInd w:val="0"/>
              <w:snapToGrid w:val="0"/>
              <w:spacing w:line="360" w:lineRule="auto"/>
              <w:jc w:val="center"/>
              <w:rPr>
                <w:rFonts w:ascii="宋体" w:hAnsi="宋体" w:cs="宋体"/>
                <w:szCs w:val="21"/>
                <w:highlight w:val="none"/>
              </w:rPr>
            </w:pPr>
          </w:p>
        </w:tc>
        <w:tc>
          <w:tcPr>
            <w:tcW w:w="1262"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年末数</w:t>
            </w:r>
          </w:p>
        </w:tc>
        <w:tc>
          <w:tcPr>
            <w:tcW w:w="1403" w:type="dxa"/>
            <w:noWrap/>
            <w:vAlign w:val="bottom"/>
          </w:tcPr>
          <w:p>
            <w:pPr>
              <w:adjustRightInd w:val="0"/>
              <w:snapToGrid w:val="0"/>
              <w:spacing w:line="360" w:lineRule="auto"/>
              <w:jc w:val="center"/>
              <w:rPr>
                <w:rFonts w:ascii="宋体" w:hAnsi="宋体" w:cs="宋体"/>
                <w:szCs w:val="21"/>
                <w:highlight w:val="none"/>
              </w:rPr>
            </w:pPr>
          </w:p>
        </w:tc>
        <w:tc>
          <w:tcPr>
            <w:tcW w:w="1285"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资产总额</w:t>
            </w:r>
          </w:p>
        </w:tc>
        <w:tc>
          <w:tcPr>
            <w:tcW w:w="2043" w:type="dxa"/>
            <w:noWrap/>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506" w:type="dxa"/>
            <w:noWrap/>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所属年度从业人数</w:t>
            </w:r>
          </w:p>
        </w:tc>
        <w:tc>
          <w:tcPr>
            <w:tcW w:w="7394" w:type="dxa"/>
            <w:gridSpan w:val="5"/>
            <w:noWrap/>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1506"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年初数</w:t>
            </w:r>
          </w:p>
        </w:tc>
        <w:tc>
          <w:tcPr>
            <w:tcW w:w="1401" w:type="dxa"/>
            <w:noWrap/>
            <w:vAlign w:val="bottom"/>
          </w:tcPr>
          <w:p>
            <w:pPr>
              <w:adjustRightInd w:val="0"/>
              <w:snapToGrid w:val="0"/>
              <w:spacing w:line="360" w:lineRule="auto"/>
              <w:jc w:val="center"/>
              <w:rPr>
                <w:rFonts w:ascii="宋体" w:hAnsi="宋体" w:cs="宋体"/>
                <w:szCs w:val="21"/>
                <w:highlight w:val="none"/>
              </w:rPr>
            </w:pPr>
          </w:p>
        </w:tc>
        <w:tc>
          <w:tcPr>
            <w:tcW w:w="1262"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年末数</w:t>
            </w:r>
          </w:p>
        </w:tc>
        <w:tc>
          <w:tcPr>
            <w:tcW w:w="1403" w:type="dxa"/>
            <w:noWrap/>
            <w:vAlign w:val="bottom"/>
          </w:tcPr>
          <w:p>
            <w:pPr>
              <w:adjustRightInd w:val="0"/>
              <w:snapToGrid w:val="0"/>
              <w:spacing w:line="360" w:lineRule="auto"/>
              <w:jc w:val="center"/>
              <w:rPr>
                <w:rFonts w:ascii="宋体" w:hAnsi="宋体" w:cs="宋体"/>
                <w:szCs w:val="21"/>
                <w:highlight w:val="none"/>
              </w:rPr>
            </w:pPr>
          </w:p>
        </w:tc>
        <w:tc>
          <w:tcPr>
            <w:tcW w:w="1285" w:type="dxa"/>
            <w:noWrap/>
            <w:vAlign w:val="bottom"/>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从业人数</w:t>
            </w:r>
          </w:p>
        </w:tc>
        <w:tc>
          <w:tcPr>
            <w:tcW w:w="2043" w:type="dxa"/>
            <w:noWrap/>
            <w:vAlign w:val="center"/>
          </w:tcPr>
          <w:p>
            <w:pPr>
              <w:adjustRightInd w:val="0"/>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exact"/>
          <w:jc w:val="center"/>
        </w:trPr>
        <w:tc>
          <w:tcPr>
            <w:tcW w:w="8900" w:type="dxa"/>
            <w:gridSpan w:val="6"/>
            <w:noWrap/>
            <w:vAlign w:val="center"/>
          </w:tcPr>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本公司承诺：以上所填内容属实，如有虚假，将依法承担一切责任。</w:t>
            </w:r>
          </w:p>
          <w:p>
            <w:pPr>
              <w:adjustRightInd w:val="0"/>
              <w:snapToGrid w:val="0"/>
              <w:spacing w:line="360" w:lineRule="auto"/>
              <w:jc w:val="left"/>
              <w:rPr>
                <w:rFonts w:ascii="宋体" w:hAnsi="宋体" w:cs="宋体"/>
                <w:szCs w:val="21"/>
                <w:highlight w:val="none"/>
              </w:rPr>
            </w:pP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 供应商名称（加盖单位公章）：                      </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法定代表人或其授权委托人（签字或盖章）：              </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lang w:val="zh-CN"/>
              </w:rPr>
              <w:t>日</w:t>
            </w:r>
            <w:r>
              <w:rPr>
                <w:rFonts w:hint="eastAsia" w:ascii="宋体" w:hAnsi="宋体" w:cs="宋体"/>
                <w:szCs w:val="21"/>
                <w:highlight w:val="none"/>
              </w:rPr>
              <w:t xml:space="preserve">  </w:t>
            </w:r>
            <w:r>
              <w:rPr>
                <w:rFonts w:hint="eastAsia" w:ascii="宋体" w:hAnsi="宋体" w:cs="宋体"/>
                <w:szCs w:val="21"/>
                <w:highlight w:val="none"/>
                <w:lang w:val="zh-CN"/>
              </w:rPr>
              <w:t>期：</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rPr>
            </w:pPr>
          </w:p>
        </w:tc>
      </w:tr>
    </w:tbl>
    <w:p>
      <w:pPr>
        <w:adjustRightInd w:val="0"/>
        <w:snapToGrid w:val="0"/>
        <w:spacing w:line="360" w:lineRule="auto"/>
        <w:jc w:val="center"/>
        <w:rPr>
          <w:rFonts w:ascii="宋体" w:hAnsi="宋体" w:cs="宋体"/>
          <w:b/>
          <w:bCs/>
          <w:sz w:val="30"/>
          <w:szCs w:val="30"/>
          <w:highlight w:val="none"/>
        </w:rPr>
      </w:pPr>
      <w:r>
        <w:rPr>
          <w:rFonts w:hint="eastAsia" w:ascii="宋体" w:hAnsi="宋体" w:cs="宋体"/>
          <w:sz w:val="24"/>
          <w:szCs w:val="24"/>
          <w:highlight w:val="none"/>
        </w:rPr>
        <w:br w:type="page"/>
      </w:r>
      <w:r>
        <w:rPr>
          <w:rFonts w:hint="eastAsia" w:ascii="宋体" w:hAnsi="宋体" w:cs="宋体"/>
          <w:b/>
          <w:bCs/>
          <w:sz w:val="30"/>
          <w:szCs w:val="30"/>
          <w:highlight w:val="none"/>
        </w:rPr>
        <w:t>申请小型微型企业价格优惠资格认定表填表须知：</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 本表适用于企业申请小型微型企业价格优惠资格认定时使用。</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一、小型微型企业条件</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小型微型企业划分标准是以工业和信息化部、国家统计局、国家发展和改革委员会、财政部联合印发了《关于印发中小企业划型标准规定的通知》（工信部联企业[2011]300号）为划分依据。</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二、小型微型企业的优惠政策根据《政府采购促进中小企业发展暂行办法》（财库〔2020〕46号）的规定，具体详见评审办法的规定。</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三、《申请小型微型企业价格优惠资格认定表》填写说明</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1.“所属时期”</w:t>
      </w:r>
      <w:r>
        <w:rPr>
          <w:rFonts w:hint="eastAsia" w:ascii="宋体" w:hAnsi="宋体" w:cs="宋体"/>
          <w:szCs w:val="21"/>
          <w:highlight w:val="none"/>
          <w:lang w:eastAsia="zh-CN"/>
        </w:rPr>
        <w:t>：</w:t>
      </w:r>
      <w:r>
        <w:rPr>
          <w:rFonts w:hint="eastAsia" w:ascii="宋体" w:hAnsi="宋体" w:cs="宋体"/>
          <w:szCs w:val="21"/>
          <w:highlight w:val="none"/>
        </w:rPr>
        <w:t>正常经营企业填报上年度公历1月至12月。年度中间开业的，填报上年度实际生产经营当月至12月。年度中间发生破产、停业等情况的，填报1月至实际停业、破产之日的当月。</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2.“是否为国家限制和禁止行业”</w:t>
      </w:r>
      <w:r>
        <w:rPr>
          <w:rFonts w:hint="eastAsia" w:ascii="宋体" w:hAnsi="宋体" w:cs="宋体"/>
          <w:szCs w:val="21"/>
          <w:highlight w:val="none"/>
          <w:lang w:eastAsia="zh-CN"/>
        </w:rPr>
        <w:t>：</w:t>
      </w:r>
      <w:r>
        <w:rPr>
          <w:rFonts w:hint="eastAsia" w:ascii="宋体" w:hAnsi="宋体" w:cs="宋体"/>
          <w:szCs w:val="21"/>
          <w:highlight w:val="none"/>
        </w:rPr>
        <w:t>参照《产业结构调整指导目录（2005年本）》（发改委第40号令）。</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3.“年初数</w:t>
      </w:r>
      <w:r>
        <w:rPr>
          <w:rFonts w:hint="eastAsia" w:ascii="宋体" w:hAnsi="宋体" w:cs="宋体"/>
          <w:szCs w:val="21"/>
          <w:highlight w:val="none"/>
          <w:lang w:eastAsia="zh-CN"/>
        </w:rPr>
        <w:t>”“</w:t>
      </w:r>
      <w:r>
        <w:rPr>
          <w:rFonts w:hint="eastAsia" w:ascii="宋体" w:hAnsi="宋体" w:cs="宋体"/>
          <w:szCs w:val="21"/>
          <w:highlight w:val="none"/>
        </w:rPr>
        <w:t>年末数”：企业经营期不足12个月的，按“期初数</w:t>
      </w:r>
      <w:r>
        <w:rPr>
          <w:rFonts w:hint="eastAsia" w:ascii="宋体" w:hAnsi="宋体" w:cs="宋体"/>
          <w:szCs w:val="21"/>
          <w:highlight w:val="none"/>
          <w:lang w:eastAsia="zh-CN"/>
        </w:rPr>
        <w:t>”“</w:t>
      </w:r>
      <w:r>
        <w:rPr>
          <w:rFonts w:hint="eastAsia" w:ascii="宋体" w:hAnsi="宋体" w:cs="宋体"/>
          <w:szCs w:val="21"/>
          <w:highlight w:val="none"/>
        </w:rPr>
        <w:t>期末数”填报。</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4.从业人数和资产总额：按企业全年月平均值确定，具体计算公式如下：月平均值＝（月初值＋月末值）÷2 全年月平均值＝全年各月平均值之和÷12年度中间开业或者终止经营活动的，以其实际经营期作为一个纳税年度确定上述相关指标。</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四、要求提供的相关材料</w:t>
      </w:r>
      <w:r>
        <w:rPr>
          <w:rFonts w:hint="eastAsia" w:ascii="宋体" w:hAnsi="宋体" w:cs="宋体"/>
          <w:szCs w:val="21"/>
          <w:highlight w:val="none"/>
          <w:lang w:eastAsia="zh-CN"/>
        </w:rPr>
        <w:t>：</w:t>
      </w:r>
      <w:r>
        <w:rPr>
          <w:rFonts w:hint="eastAsia" w:ascii="宋体" w:hAnsi="宋体" w:cs="宋体"/>
          <w:szCs w:val="21"/>
          <w:highlight w:val="none"/>
        </w:rPr>
        <w:t>提供营业收入和从业人数的相关</w:t>
      </w:r>
      <w:r>
        <w:rPr>
          <w:rFonts w:hint="eastAsia" w:ascii="宋体" w:hAnsi="宋体" w:cs="宋体"/>
          <w:szCs w:val="21"/>
          <w:highlight w:val="none"/>
          <w:lang w:eastAsia="zh-CN"/>
        </w:rPr>
        <w:t>证明</w:t>
      </w:r>
      <w:r>
        <w:rPr>
          <w:rFonts w:hint="eastAsia" w:ascii="宋体" w:hAnsi="宋体" w:cs="宋体"/>
          <w:szCs w:val="21"/>
          <w:highlight w:val="none"/>
        </w:rPr>
        <w:t>。</w:t>
      </w:r>
    </w:p>
    <w:p>
      <w:pPr>
        <w:adjustRightInd w:val="0"/>
        <w:snapToGrid w:val="0"/>
        <w:spacing w:line="360" w:lineRule="auto"/>
        <w:jc w:val="left"/>
        <w:rPr>
          <w:rFonts w:ascii="宋体" w:hAnsi="宋体" w:cs="宋体"/>
          <w:b/>
          <w:sz w:val="24"/>
          <w:szCs w:val="24"/>
          <w:highlight w:val="none"/>
        </w:rPr>
      </w:pPr>
    </w:p>
    <w:p>
      <w:pPr>
        <w:adjustRightInd w:val="0"/>
        <w:snapToGrid w:val="0"/>
        <w:spacing w:line="360" w:lineRule="auto"/>
        <w:jc w:val="left"/>
        <w:rPr>
          <w:rFonts w:ascii="宋体" w:hAnsi="宋体" w:cs="宋体"/>
          <w:b/>
          <w:sz w:val="24"/>
          <w:szCs w:val="24"/>
          <w:highlight w:val="none"/>
        </w:rPr>
      </w:pPr>
    </w:p>
    <w:p>
      <w:pPr>
        <w:adjustRightInd w:val="0"/>
        <w:snapToGrid w:val="0"/>
        <w:spacing w:line="360" w:lineRule="auto"/>
        <w:rPr>
          <w:rFonts w:ascii="宋体" w:hAnsi="宋体" w:cs="宋体"/>
          <w:b/>
          <w:sz w:val="24"/>
          <w:szCs w:val="24"/>
          <w:highlight w:val="none"/>
        </w:rPr>
      </w:pPr>
    </w:p>
    <w:p>
      <w:pPr>
        <w:adjustRightInd w:val="0"/>
        <w:snapToGrid w:val="0"/>
        <w:spacing w:line="360" w:lineRule="auto"/>
        <w:rPr>
          <w:rFonts w:ascii="宋体" w:hAnsi="宋体" w:cs="宋体"/>
          <w:b/>
          <w:sz w:val="24"/>
          <w:szCs w:val="24"/>
          <w:highlight w:val="none"/>
        </w:rPr>
      </w:pPr>
    </w:p>
    <w:p>
      <w:pPr>
        <w:adjustRightInd w:val="0"/>
        <w:snapToGrid w:val="0"/>
        <w:spacing w:line="360" w:lineRule="auto"/>
        <w:rPr>
          <w:rFonts w:ascii="宋体" w:hAnsi="宋体" w:cs="宋体"/>
          <w:b/>
          <w:sz w:val="24"/>
          <w:szCs w:val="24"/>
          <w:highlight w:val="none"/>
        </w:rPr>
      </w:pPr>
    </w:p>
    <w:p>
      <w:pPr>
        <w:pStyle w:val="10"/>
        <w:adjustRightInd w:val="0"/>
        <w:snapToGrid w:val="0"/>
        <w:spacing w:line="360" w:lineRule="auto"/>
        <w:rPr>
          <w:rFonts w:ascii="宋体" w:hAnsi="宋体" w:cs="宋体"/>
          <w:highlight w:val="none"/>
        </w:rPr>
      </w:pPr>
    </w:p>
    <w:p>
      <w:pPr>
        <w:rPr>
          <w:rFonts w:ascii="宋体" w:hAnsi="宋体" w:cs="宋体"/>
          <w:b/>
          <w:sz w:val="24"/>
          <w:szCs w:val="24"/>
          <w:highlight w:val="none"/>
        </w:rPr>
      </w:pPr>
      <w:r>
        <w:rPr>
          <w:rFonts w:hint="eastAsia" w:ascii="宋体" w:hAnsi="宋体" w:cs="宋体"/>
          <w:b/>
          <w:sz w:val="24"/>
          <w:szCs w:val="24"/>
          <w:highlight w:val="none"/>
        </w:rPr>
        <w:br w:type="page"/>
      </w:r>
    </w:p>
    <w:p>
      <w:pPr>
        <w:pStyle w:val="10"/>
        <w:adjustRightInd w:val="0"/>
        <w:snapToGrid w:val="0"/>
        <w:spacing w:line="360" w:lineRule="auto"/>
        <w:jc w:val="center"/>
        <w:rPr>
          <w:rFonts w:ascii="宋体" w:hAnsi="宋体" w:cs="宋体"/>
          <w:b/>
          <w:bCs/>
          <w:sz w:val="32"/>
          <w:szCs w:val="32"/>
          <w:highlight w:val="none"/>
        </w:rPr>
      </w:pPr>
      <w:bookmarkStart w:id="133" w:name="_Toc10152"/>
      <w:r>
        <w:rPr>
          <w:rFonts w:hint="eastAsia" w:ascii="宋体" w:hAnsi="宋体" w:cs="宋体"/>
          <w:b/>
          <w:bCs/>
          <w:sz w:val="32"/>
          <w:szCs w:val="32"/>
          <w:highlight w:val="none"/>
        </w:rPr>
        <w:t>中小企业声明函</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号）的规定，本公司（联合体）参加（单位名称）的（项目名称）采购活动，提供服务的（工程）单位全部为符合政策要求的中小企业（或者：服务全部由符合政策要求的中小企业承接）。相关企业（含联合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万元，属于（中型企业、小型企业、微型企业）；</w:t>
      </w:r>
    </w:p>
    <w:p>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万元，属于（中型企业、小型企业、微型企业）；</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adjustRightInd w:val="0"/>
        <w:snapToGrid w:val="0"/>
        <w:spacing w:line="360" w:lineRule="auto"/>
        <w:ind w:firstLine="2310" w:firstLineChars="1100"/>
        <w:rPr>
          <w:rFonts w:ascii="宋体" w:hAnsi="宋体" w:cs="宋体"/>
          <w:szCs w:val="21"/>
          <w:highlight w:val="none"/>
        </w:rPr>
      </w:pPr>
    </w:p>
    <w:p>
      <w:pPr>
        <w:adjustRightInd w:val="0"/>
        <w:snapToGrid w:val="0"/>
        <w:spacing w:line="360" w:lineRule="auto"/>
        <w:ind w:firstLine="2310" w:firstLineChars="1100"/>
        <w:rPr>
          <w:rFonts w:ascii="宋体" w:hAnsi="宋体" w:cs="宋体"/>
          <w:szCs w:val="21"/>
          <w:highlight w:val="none"/>
        </w:rPr>
      </w:pPr>
      <w:r>
        <w:rPr>
          <w:rFonts w:hint="eastAsia" w:ascii="宋体" w:hAnsi="宋体" w:cs="宋体"/>
          <w:szCs w:val="21"/>
          <w:highlight w:val="none"/>
        </w:rPr>
        <w:t>企业名称（盖章）：</w:t>
      </w:r>
    </w:p>
    <w:p>
      <w:pPr>
        <w:adjustRightInd w:val="0"/>
        <w:snapToGrid w:val="0"/>
        <w:spacing w:line="360" w:lineRule="auto"/>
        <w:ind w:firstLine="2310" w:firstLineChars="1100"/>
        <w:rPr>
          <w:rFonts w:ascii="宋体" w:hAnsi="宋体" w:cs="宋体"/>
          <w:szCs w:val="21"/>
          <w:highlight w:val="none"/>
        </w:rPr>
      </w:pPr>
      <w:r>
        <w:rPr>
          <w:rFonts w:hint="eastAsia" w:ascii="宋体" w:hAnsi="宋体" w:cs="宋体"/>
          <w:szCs w:val="21"/>
          <w:highlight w:val="none"/>
        </w:rPr>
        <w:t>日期：</w:t>
      </w:r>
    </w:p>
    <w:p>
      <w:pPr>
        <w:pStyle w:val="10"/>
        <w:adjustRightInd w:val="0"/>
        <w:snapToGrid w:val="0"/>
        <w:spacing w:line="360" w:lineRule="auto"/>
        <w:rPr>
          <w:rFonts w:ascii="宋体" w:hAnsi="宋体" w:cs="宋体"/>
          <w:sz w:val="21"/>
          <w:szCs w:val="21"/>
          <w:highlight w:val="none"/>
        </w:rPr>
      </w:pPr>
    </w:p>
    <w:p>
      <w:pPr>
        <w:pStyle w:val="10"/>
        <w:adjustRightInd w:val="0"/>
        <w:snapToGrid w:val="0"/>
        <w:spacing w:line="360" w:lineRule="auto"/>
        <w:rPr>
          <w:rFonts w:ascii="宋体" w:hAnsi="宋体" w:cs="宋体"/>
          <w:sz w:val="21"/>
          <w:szCs w:val="21"/>
          <w:highlight w:val="none"/>
        </w:rPr>
      </w:pPr>
    </w:p>
    <w:p>
      <w:pPr>
        <w:pStyle w:val="1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rPr>
        <w:t>从业人员、营业收入、资产总额填报上一年度数据，无上一年度数据的新成立企业可不填报</w:t>
      </w:r>
    </w:p>
    <w:p>
      <w:pPr>
        <w:adjustRightInd w:val="0"/>
        <w:snapToGrid w:val="0"/>
        <w:spacing w:line="360" w:lineRule="auto"/>
        <w:jc w:val="left"/>
        <w:rPr>
          <w:rFonts w:ascii="宋体" w:hAnsi="宋体" w:cs="宋体"/>
          <w:b/>
          <w:bCs/>
          <w:sz w:val="24"/>
          <w:szCs w:val="24"/>
          <w:highlight w:val="none"/>
        </w:rPr>
      </w:pPr>
      <w:r>
        <w:rPr>
          <w:rFonts w:hint="eastAsia" w:ascii="宋体" w:hAnsi="宋体" w:cs="宋体"/>
          <w:b/>
          <w:bCs/>
          <w:szCs w:val="21"/>
          <w:highlight w:val="none"/>
        </w:rPr>
        <w:br w:type="page"/>
      </w:r>
      <w:r>
        <w:rPr>
          <w:rFonts w:hint="eastAsia" w:ascii="宋体" w:hAnsi="宋体" w:cs="宋体"/>
          <w:b/>
          <w:bCs/>
          <w:sz w:val="24"/>
          <w:szCs w:val="24"/>
          <w:highlight w:val="none"/>
        </w:rPr>
        <w:t xml:space="preserve">附件2：              </w:t>
      </w:r>
    </w:p>
    <w:bookmarkEnd w:id="133"/>
    <w:p>
      <w:pPr>
        <w:adjustRightInd w:val="0"/>
        <w:snapToGrid w:val="0"/>
        <w:spacing w:line="360" w:lineRule="auto"/>
        <w:jc w:val="center"/>
        <w:rPr>
          <w:rFonts w:ascii="宋体" w:hAnsi="宋体" w:cs="宋体"/>
          <w:b/>
          <w:spacing w:val="6"/>
          <w:sz w:val="24"/>
          <w:szCs w:val="24"/>
          <w:highlight w:val="none"/>
        </w:rPr>
      </w:pPr>
      <w:bookmarkStart w:id="134" w:name="OLE_LINK13"/>
      <w:bookmarkStart w:id="135" w:name="OLE_LINK14"/>
      <w:r>
        <w:rPr>
          <w:rFonts w:hint="eastAsia" w:ascii="宋体" w:hAnsi="宋体" w:cs="宋体"/>
          <w:b/>
          <w:spacing w:val="6"/>
          <w:sz w:val="24"/>
          <w:szCs w:val="24"/>
          <w:highlight w:val="none"/>
        </w:rPr>
        <w:t>残疾人福利性单位声明函</w:t>
      </w:r>
    </w:p>
    <w:bookmarkEnd w:id="134"/>
    <w:bookmarkEnd w:id="135"/>
    <w:p>
      <w:pPr>
        <w:adjustRightInd w:val="0"/>
        <w:snapToGrid w:val="0"/>
        <w:spacing w:line="360" w:lineRule="auto"/>
        <w:rPr>
          <w:rFonts w:ascii="宋体" w:hAnsi="宋体" w:cs="宋体"/>
          <w:b/>
          <w:spacing w:val="6"/>
          <w:sz w:val="24"/>
          <w:szCs w:val="24"/>
          <w:highlight w:val="none"/>
        </w:rPr>
      </w:pPr>
    </w:p>
    <w:p>
      <w:pPr>
        <w:adjustRightInd w:val="0"/>
        <w:snapToGrid w:val="0"/>
        <w:spacing w:line="360" w:lineRule="auto"/>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______单位的______项目采购活动提供本单位制造的服务（由本单位承担工程/提供服务），或者提供其他残疾人福利性单位制造的服务（不包括使用非残疾人福利性单位注册商标的服务）。</w:t>
      </w:r>
    </w:p>
    <w:p>
      <w:pPr>
        <w:adjustRightInd w:val="0"/>
        <w:snapToGrid w:val="0"/>
        <w:spacing w:line="360" w:lineRule="auto"/>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adjustRightInd w:val="0"/>
        <w:snapToGrid w:val="0"/>
        <w:spacing w:line="360" w:lineRule="auto"/>
        <w:ind w:firstLine="444" w:firstLineChars="200"/>
        <w:rPr>
          <w:rFonts w:ascii="宋体" w:hAnsi="宋体" w:cs="宋体"/>
          <w:spacing w:val="6"/>
          <w:szCs w:val="21"/>
          <w:highlight w:val="none"/>
        </w:rPr>
      </w:pPr>
    </w:p>
    <w:p>
      <w:pPr>
        <w:adjustRightInd w:val="0"/>
        <w:snapToGrid w:val="0"/>
        <w:spacing w:line="360" w:lineRule="auto"/>
        <w:ind w:firstLine="444" w:firstLineChars="200"/>
        <w:rPr>
          <w:rFonts w:ascii="宋体" w:hAnsi="宋体" w:cs="宋体"/>
          <w:spacing w:val="6"/>
          <w:szCs w:val="21"/>
          <w:highlight w:val="none"/>
        </w:rPr>
      </w:pPr>
    </w:p>
    <w:p>
      <w:pPr>
        <w:adjustRightInd w:val="0"/>
        <w:snapToGrid w:val="0"/>
        <w:spacing w:line="360" w:lineRule="auto"/>
        <w:ind w:firstLine="444" w:firstLineChars="200"/>
        <w:rPr>
          <w:rFonts w:ascii="宋体" w:hAnsi="宋体" w:cs="宋体"/>
          <w:spacing w:val="6"/>
          <w:szCs w:val="21"/>
          <w:highlight w:val="none"/>
        </w:rPr>
      </w:pPr>
    </w:p>
    <w:p>
      <w:pPr>
        <w:adjustRightInd w:val="0"/>
        <w:snapToGrid w:val="0"/>
        <w:spacing w:line="360" w:lineRule="auto"/>
        <w:ind w:firstLine="444" w:firstLineChars="200"/>
        <w:rPr>
          <w:rFonts w:ascii="宋体" w:hAnsi="宋体" w:cs="宋体"/>
          <w:spacing w:val="6"/>
          <w:szCs w:val="21"/>
          <w:highlight w:val="none"/>
        </w:rPr>
      </w:pPr>
    </w:p>
    <w:p>
      <w:pPr>
        <w:tabs>
          <w:tab w:val="left" w:pos="4860"/>
        </w:tabs>
        <w:adjustRightInd w:val="0"/>
        <w:snapToGrid w:val="0"/>
        <w:spacing w:line="360" w:lineRule="auto"/>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供应商名称（加盖单位盖章）：</w:t>
      </w:r>
    </w:p>
    <w:p>
      <w:pPr>
        <w:tabs>
          <w:tab w:val="left" w:pos="4860"/>
        </w:tabs>
        <w:adjustRightInd w:val="0"/>
        <w:snapToGrid w:val="0"/>
        <w:spacing w:line="360" w:lineRule="auto"/>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pPr>
        <w:tabs>
          <w:tab w:val="left" w:pos="1620"/>
          <w:tab w:val="left" w:pos="1800"/>
        </w:tabs>
        <w:adjustRightInd w:val="0"/>
        <w:snapToGrid w:val="0"/>
        <w:spacing w:line="360" w:lineRule="auto"/>
        <w:ind w:right="540" w:rightChars="257"/>
        <w:rPr>
          <w:rFonts w:ascii="宋体" w:hAnsi="宋体" w:cs="宋体"/>
          <w:szCs w:val="21"/>
          <w:highlight w:val="none"/>
        </w:rPr>
      </w:pPr>
    </w:p>
    <w:p>
      <w:pPr>
        <w:tabs>
          <w:tab w:val="left" w:pos="1620"/>
          <w:tab w:val="left" w:pos="1800"/>
        </w:tabs>
        <w:adjustRightInd w:val="0"/>
        <w:snapToGrid w:val="0"/>
        <w:spacing w:line="360" w:lineRule="auto"/>
        <w:ind w:right="540" w:rightChars="257"/>
        <w:rPr>
          <w:rFonts w:ascii="宋体" w:hAnsi="宋体" w:cs="宋体"/>
          <w:szCs w:val="21"/>
          <w:highlight w:val="none"/>
        </w:rPr>
      </w:pPr>
    </w:p>
    <w:p>
      <w:pPr>
        <w:adjustRightInd w:val="0"/>
        <w:snapToGrid w:val="0"/>
        <w:spacing w:line="360" w:lineRule="auto"/>
        <w:rPr>
          <w:rFonts w:ascii="宋体" w:hAnsi="宋体" w:cs="宋体"/>
          <w:b/>
          <w:sz w:val="24"/>
          <w:szCs w:val="24"/>
          <w:highlight w:val="none"/>
        </w:rPr>
      </w:pPr>
      <w:bookmarkStart w:id="136" w:name="_Toc15647"/>
    </w:p>
    <w:p>
      <w:pPr>
        <w:adjustRightInd w:val="0"/>
        <w:snapToGrid w:val="0"/>
        <w:spacing w:line="360" w:lineRule="auto"/>
        <w:rPr>
          <w:rFonts w:ascii="宋体" w:hAnsi="宋体" w:cs="宋体"/>
          <w:b/>
          <w:sz w:val="24"/>
          <w:szCs w:val="24"/>
          <w:highlight w:val="none"/>
        </w:rPr>
      </w:pPr>
    </w:p>
    <w:p>
      <w:pPr>
        <w:adjustRightInd w:val="0"/>
        <w:snapToGrid w:val="0"/>
        <w:spacing w:line="360" w:lineRule="auto"/>
        <w:rPr>
          <w:rFonts w:ascii="宋体" w:hAnsi="宋体" w:cs="宋体"/>
          <w:b/>
          <w:sz w:val="24"/>
          <w:szCs w:val="24"/>
          <w:highlight w:val="none"/>
        </w:rPr>
      </w:pPr>
    </w:p>
    <w:p>
      <w:pPr>
        <w:adjustRightInd w:val="0"/>
        <w:snapToGrid w:val="0"/>
        <w:spacing w:line="360" w:lineRule="auto"/>
        <w:jc w:val="left"/>
        <w:rPr>
          <w:rFonts w:ascii="宋体" w:hAnsi="宋体" w:cs="宋体"/>
          <w:sz w:val="24"/>
          <w:szCs w:val="24"/>
          <w:highlight w:val="none"/>
        </w:rPr>
      </w:pPr>
      <w:r>
        <w:rPr>
          <w:rFonts w:hint="eastAsia" w:ascii="宋体" w:hAnsi="宋体" w:cs="宋体"/>
          <w:b/>
          <w:bCs/>
          <w:sz w:val="24"/>
          <w:szCs w:val="24"/>
          <w:highlight w:val="none"/>
        </w:rPr>
        <w:t xml:space="preserve">            </w:t>
      </w:r>
      <w:bookmarkEnd w:id="136"/>
    </w:p>
    <w:p>
      <w:pPr>
        <w:pStyle w:val="21"/>
        <w:tabs>
          <w:tab w:val="right" w:pos="9070"/>
        </w:tabs>
        <w:adjustRightInd w:val="0"/>
        <w:snapToGrid w:val="0"/>
        <w:spacing w:before="0" w:beforeAutospacing="0" w:after="0" w:afterAutospacing="0" w:line="360" w:lineRule="auto"/>
        <w:rPr>
          <w:highlight w:val="none"/>
        </w:rPr>
      </w:pPr>
    </w:p>
    <w:p>
      <w:pPr>
        <w:pStyle w:val="21"/>
        <w:tabs>
          <w:tab w:val="right" w:pos="9070"/>
        </w:tabs>
        <w:adjustRightInd w:val="0"/>
        <w:snapToGrid w:val="0"/>
        <w:spacing w:before="0" w:beforeAutospacing="0" w:after="0" w:afterAutospacing="0" w:line="360" w:lineRule="auto"/>
        <w:rPr>
          <w:highlight w:val="none"/>
        </w:rPr>
      </w:pPr>
    </w:p>
    <w:p>
      <w:pPr>
        <w:pStyle w:val="21"/>
        <w:tabs>
          <w:tab w:val="right" w:pos="9070"/>
        </w:tabs>
        <w:adjustRightInd w:val="0"/>
        <w:snapToGrid w:val="0"/>
        <w:spacing w:before="0" w:beforeAutospacing="0" w:after="0" w:afterAutospacing="0" w:line="360" w:lineRule="auto"/>
        <w:rPr>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adjustRightInd w:val="0"/>
        <w:snapToGrid w:val="0"/>
        <w:spacing w:line="360" w:lineRule="auto"/>
        <w:rPr>
          <w:rFonts w:ascii="宋体" w:hAnsi="宋体" w:cs="宋体"/>
          <w:b/>
          <w:sz w:val="24"/>
          <w:highlight w:val="none"/>
        </w:rPr>
        <w:sectPr>
          <w:pgSz w:w="11907" w:h="16840"/>
          <w:pgMar w:top="1440" w:right="1474" w:bottom="1440" w:left="1474" w:header="851" w:footer="992" w:gutter="0"/>
          <w:pgNumType w:fmt="decimal"/>
          <w:cols w:space="720" w:num="1"/>
          <w:docGrid w:linePitch="312" w:charSpace="0"/>
        </w:sectPr>
      </w:pPr>
    </w:p>
    <w:p>
      <w:pPr>
        <w:rPr>
          <w:rFonts w:ascii="宋体" w:hAnsi="宋体" w:cs="宋体"/>
          <w:b/>
          <w:bCs/>
          <w:sz w:val="24"/>
          <w:highlight w:val="none"/>
        </w:rPr>
      </w:pPr>
      <w:r>
        <w:rPr>
          <w:rFonts w:hint="eastAsia" w:ascii="宋体" w:hAnsi="宋体" w:cs="宋体"/>
          <w:sz w:val="24"/>
          <w:highlight w:val="none"/>
        </w:rPr>
        <w:t xml:space="preserve">附件3                  </w:t>
      </w:r>
      <w:r>
        <w:rPr>
          <w:rFonts w:hint="eastAsia" w:ascii="宋体" w:hAnsi="宋体" w:cs="宋体"/>
          <w:b/>
          <w:bCs/>
          <w:sz w:val="24"/>
          <w:highlight w:val="none"/>
        </w:rPr>
        <w:t>监狱企业证明文件</w:t>
      </w:r>
    </w:p>
    <w:p>
      <w:pPr>
        <w:adjustRightInd w:val="0"/>
        <w:snapToGrid w:val="0"/>
        <w:spacing w:before="50" w:line="360" w:lineRule="auto"/>
        <w:rPr>
          <w:rFonts w:ascii="宋体" w:hAnsi="宋体" w:cs="宋体"/>
          <w:b/>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说明：</w:t>
      </w:r>
    </w:p>
    <w:p>
      <w:pPr>
        <w:adjustRightInd w:val="0"/>
        <w:snapToGrid w:val="0"/>
        <w:spacing w:line="360" w:lineRule="auto"/>
        <w:ind w:firstLine="525"/>
        <w:rPr>
          <w:rFonts w:ascii="宋体" w:hAnsi="宋体" w:cs="宋体"/>
          <w:bCs/>
          <w:sz w:val="24"/>
          <w:highlight w:val="none"/>
        </w:rPr>
      </w:pPr>
      <w:r>
        <w:rPr>
          <w:rFonts w:hint="eastAsia" w:ascii="宋体" w:hAnsi="宋体" w:cs="宋体"/>
          <w:bCs/>
          <w:sz w:val="24"/>
          <w:highlight w:val="none"/>
        </w:rPr>
        <w:t>1.无格式要求，由出具监狱企业证明的单位自行拟定；</w:t>
      </w:r>
    </w:p>
    <w:p>
      <w:pPr>
        <w:adjustRightInd w:val="0"/>
        <w:snapToGrid w:val="0"/>
        <w:spacing w:line="360" w:lineRule="auto"/>
        <w:ind w:firstLine="525"/>
        <w:rPr>
          <w:rFonts w:ascii="宋体" w:hAnsi="宋体" w:cs="宋体"/>
          <w:sz w:val="24"/>
          <w:highlight w:val="none"/>
        </w:rPr>
      </w:pPr>
      <w:r>
        <w:rPr>
          <w:rFonts w:hint="eastAsia" w:ascii="宋体" w:hAnsi="宋体" w:cs="宋体"/>
          <w:sz w:val="24"/>
          <w:highlight w:val="none"/>
        </w:rPr>
        <w:t>2.响应人如实填写本表。符合条件的响应人未按上述要求提供、填写的，评审时不予以考虑。</w:t>
      </w:r>
    </w:p>
    <w:p>
      <w:pPr>
        <w:adjustRightInd w:val="0"/>
        <w:snapToGrid w:val="0"/>
        <w:spacing w:before="50" w:line="360" w:lineRule="auto"/>
        <w:jc w:val="left"/>
        <w:rPr>
          <w:rFonts w:ascii="宋体" w:hAnsi="宋体" w:cs="宋体"/>
          <w:b/>
          <w:sz w:val="24"/>
          <w:highlight w:val="none"/>
        </w:rPr>
        <w:sectPr>
          <w:pgSz w:w="11907" w:h="16840"/>
          <w:pgMar w:top="1440" w:right="1474" w:bottom="1440" w:left="1474" w:header="851" w:footer="992" w:gutter="0"/>
          <w:pgNumType w:fmt="decimal"/>
          <w:cols w:space="720" w:num="1"/>
          <w:docGrid w:linePitch="312" w:charSpace="0"/>
        </w:sectPr>
      </w:pPr>
      <w:r>
        <w:rPr>
          <w:rFonts w:hint="eastAsia" w:ascii="宋体" w:hAnsi="宋体" w:cs="宋体"/>
          <w:b/>
          <w:sz w:val="24"/>
          <w:highlight w:val="none"/>
        </w:rPr>
        <w:t>不符合条件的供应商无需填写。如果出现虚假应标，由此产生的后果由供应商自行负责。</w:t>
      </w:r>
    </w:p>
    <w:p>
      <w:pPr>
        <w:tabs>
          <w:tab w:val="left" w:pos="7665"/>
        </w:tabs>
        <w:spacing w:line="360" w:lineRule="auto"/>
        <w:ind w:firstLine="480" w:firstLineChars="200"/>
        <w:rPr>
          <w:rFonts w:ascii="宋体" w:hAnsi="宋体" w:cs="宋体"/>
          <w:sz w:val="24"/>
          <w:highlight w:val="none"/>
        </w:rPr>
      </w:pPr>
    </w:p>
    <w:p>
      <w:pPr>
        <w:tabs>
          <w:tab w:val="left" w:pos="720"/>
          <w:tab w:val="left" w:pos="8364"/>
        </w:tabs>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陕西省政府采购供应商拒绝政府采购领域商业贿赂承诺书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为响应党中央、国务院关于治理政府采购领域商业贿赂行为的号召，我公司在此庄严承诺：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（1）在参与政府采购活动中遵纪守法、诚信经营、公平竞标。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（2）不向政府采购人、采购代理机构和政府采购评审专家进行任何形式的商业贿赂以谋取交易机会。</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（3）不向政府采购代理机构和采购人提供虚假资质文件或采用虚假应标方式参与政府采购市场竞争并谋取中标、成交。</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（4）不采取“围标、陪标”等商业欺诈手段获得政府采购订单。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（5）不采取不正当手段诋毁、排挤其他供应商。</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w:t>
      </w:r>
      <w:r>
        <w:rPr>
          <w:rFonts w:hint="eastAsia" w:ascii="宋体" w:hAnsi="宋体" w:cs="宋体"/>
          <w:szCs w:val="21"/>
          <w:highlight w:val="none"/>
          <w:lang w:eastAsia="zh-CN"/>
        </w:rPr>
        <w:t>不再提供</w:t>
      </w:r>
      <w:r>
        <w:rPr>
          <w:rFonts w:hint="eastAsia" w:ascii="宋体" w:hAnsi="宋体" w:cs="宋体"/>
          <w:szCs w:val="21"/>
          <w:highlight w:val="none"/>
        </w:rPr>
        <w:t>商品和服务时“偷梁换柱、以次充好”损害采购人的合法权益。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7）不与采购人、采购代理机构政府采购评审专家或其他供应商恶意串通，进行质疑和投诉，维护政府采购监督管理部门的监督和政府采购代理机构投标采购要求，承担因违约行为给采购人造成的损失市场秩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（8）尊重和接受政府采购。</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（9）不发生其他有悖于政府采购公开、公平、公正和诚信原则的行为。</w:t>
      </w:r>
    </w:p>
    <w:p>
      <w:pPr>
        <w:pStyle w:val="2"/>
        <w:rPr>
          <w:rFonts w:hint="eastAsia"/>
          <w:lang w:eastAsia="zh-CN"/>
        </w:rPr>
      </w:pPr>
    </w:p>
    <w:p>
      <w:pPr>
        <w:widowControl/>
        <w:adjustRightInd w:val="0"/>
        <w:snapToGrid w:val="0"/>
        <w:spacing w:line="360" w:lineRule="auto"/>
        <w:ind w:left="479" w:leftChars="228"/>
        <w:jc w:val="left"/>
        <w:rPr>
          <w:rFonts w:hint="eastAsia" w:ascii="宋体" w:hAnsi="宋体" w:eastAsia="宋体" w:cs="宋体"/>
          <w:szCs w:val="21"/>
          <w:highlight w:val="none"/>
          <w:lang w:eastAsia="zh-CN"/>
        </w:rPr>
      </w:pPr>
      <w:r>
        <w:rPr>
          <w:rFonts w:hint="eastAsia" w:ascii="宋体" w:hAnsi="宋体" w:cs="宋体"/>
          <w:szCs w:val="21"/>
          <w:highlight w:val="none"/>
        </w:rPr>
        <w:t>承诺单位：（盖章）</w:t>
      </w:r>
    </w:p>
    <w:p>
      <w:pPr>
        <w:widowControl/>
        <w:adjustRightInd w:val="0"/>
        <w:snapToGrid w:val="0"/>
        <w:spacing w:line="360" w:lineRule="auto"/>
        <w:ind w:left="479" w:leftChars="228"/>
        <w:jc w:val="left"/>
        <w:rPr>
          <w:rFonts w:hint="eastAsia" w:ascii="宋体" w:hAnsi="宋体" w:eastAsia="宋体" w:cs="宋体"/>
          <w:szCs w:val="21"/>
          <w:highlight w:val="none"/>
          <w:lang w:eastAsia="zh-CN"/>
        </w:rPr>
      </w:pPr>
      <w:r>
        <w:rPr>
          <w:rFonts w:hint="eastAsia" w:ascii="宋体" w:hAnsi="宋体" w:cs="宋体"/>
          <w:szCs w:val="21"/>
          <w:highlight w:val="none"/>
        </w:rPr>
        <w:t>全权代表：（签字）</w:t>
      </w:r>
    </w:p>
    <w:p>
      <w:pPr>
        <w:widowControl/>
        <w:adjustRightInd w:val="0"/>
        <w:snapToGrid w:val="0"/>
        <w:spacing w:line="360" w:lineRule="auto"/>
        <w:ind w:left="479" w:leftChars="228"/>
        <w:jc w:val="left"/>
        <w:rPr>
          <w:rFonts w:ascii="宋体" w:hAnsi="宋体" w:cs="宋体"/>
          <w:szCs w:val="21"/>
          <w:highlight w:val="none"/>
        </w:rPr>
      </w:pPr>
      <w:r>
        <w:rPr>
          <w:rFonts w:hint="eastAsia" w:ascii="宋体" w:hAnsi="宋体" w:cs="宋体"/>
          <w:szCs w:val="21"/>
          <w:highlight w:val="none"/>
        </w:rPr>
        <w:t>地  址：                        </w:t>
      </w:r>
    </w:p>
    <w:p>
      <w:pPr>
        <w:widowControl/>
        <w:adjustRightInd w:val="0"/>
        <w:snapToGrid w:val="0"/>
        <w:spacing w:line="360" w:lineRule="auto"/>
        <w:ind w:left="479" w:leftChars="228"/>
        <w:jc w:val="left"/>
        <w:rPr>
          <w:rFonts w:hint="eastAsia" w:ascii="宋体" w:hAnsi="宋体" w:eastAsia="宋体" w:cs="宋体"/>
          <w:szCs w:val="21"/>
          <w:highlight w:val="none"/>
          <w:lang w:eastAsia="zh-CN"/>
        </w:rPr>
      </w:pPr>
      <w:r>
        <w:rPr>
          <w:rFonts w:hint="eastAsia" w:ascii="宋体" w:hAnsi="宋体" w:cs="宋体"/>
          <w:szCs w:val="21"/>
          <w:highlight w:val="none"/>
        </w:rPr>
        <w:t>邮  编：</w:t>
      </w:r>
    </w:p>
    <w:p>
      <w:pPr>
        <w:widowControl/>
        <w:adjustRightInd w:val="0"/>
        <w:snapToGrid w:val="0"/>
        <w:spacing w:line="360" w:lineRule="auto"/>
        <w:ind w:left="479" w:leftChars="228"/>
        <w:jc w:val="left"/>
        <w:rPr>
          <w:rFonts w:ascii="宋体" w:hAnsi="宋体" w:cs="宋体"/>
          <w:szCs w:val="21"/>
          <w:highlight w:val="none"/>
        </w:rPr>
      </w:pPr>
      <w:r>
        <w:rPr>
          <w:rFonts w:hint="eastAsia" w:ascii="宋体" w:hAnsi="宋体" w:cs="宋体"/>
          <w:szCs w:val="21"/>
          <w:highlight w:val="none"/>
        </w:rPr>
        <w:t xml:space="preserve">电  话：                                                                  </w:t>
      </w:r>
    </w:p>
    <w:p>
      <w:pPr>
        <w:pStyle w:val="6"/>
        <w:rPr>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p>
    <w:p>
      <w:pPr>
        <w:pStyle w:val="21"/>
        <w:tabs>
          <w:tab w:val="right" w:pos="9070"/>
        </w:tabs>
        <w:adjustRightInd w:val="0"/>
        <w:snapToGrid w:val="0"/>
        <w:spacing w:before="0" w:beforeAutospacing="0" w:after="0" w:afterAutospacing="0" w:line="360" w:lineRule="auto"/>
        <w:jc w:val="center"/>
        <w:rPr>
          <w:sz w:val="44"/>
          <w:szCs w:val="44"/>
          <w:highlight w:val="none"/>
        </w:rPr>
      </w:pPr>
    </w:p>
    <w:p>
      <w:pPr>
        <w:pStyle w:val="21"/>
        <w:tabs>
          <w:tab w:val="right" w:pos="9070"/>
        </w:tabs>
        <w:adjustRightInd w:val="0"/>
        <w:snapToGrid w:val="0"/>
        <w:spacing w:before="0" w:beforeAutospacing="0" w:after="0" w:afterAutospacing="0" w:line="360" w:lineRule="auto"/>
        <w:jc w:val="center"/>
        <w:rPr>
          <w:sz w:val="44"/>
          <w:szCs w:val="44"/>
          <w:highlight w:val="none"/>
        </w:rPr>
      </w:pPr>
    </w:p>
    <w:p>
      <w:pPr>
        <w:pStyle w:val="21"/>
        <w:tabs>
          <w:tab w:val="right" w:pos="9070"/>
        </w:tabs>
        <w:adjustRightInd w:val="0"/>
        <w:snapToGrid w:val="0"/>
        <w:spacing w:before="0" w:beforeAutospacing="0" w:after="0" w:afterAutospacing="0" w:line="360" w:lineRule="auto"/>
        <w:jc w:val="center"/>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both"/>
        <w:rPr>
          <w:sz w:val="44"/>
          <w:szCs w:val="44"/>
          <w:highlight w:val="none"/>
        </w:rPr>
      </w:pPr>
    </w:p>
    <w:p>
      <w:pPr>
        <w:pStyle w:val="21"/>
        <w:tabs>
          <w:tab w:val="right" w:pos="9070"/>
        </w:tabs>
        <w:adjustRightInd w:val="0"/>
        <w:snapToGrid w:val="0"/>
        <w:spacing w:before="0" w:beforeAutospacing="0" w:after="0" w:afterAutospacing="0" w:line="360" w:lineRule="auto"/>
        <w:jc w:val="center"/>
        <w:rPr>
          <w:b/>
          <w:bCs/>
          <w:sz w:val="44"/>
          <w:szCs w:val="44"/>
          <w:highlight w:val="none"/>
        </w:rPr>
      </w:pPr>
      <w:r>
        <w:rPr>
          <w:rFonts w:hint="eastAsia"/>
          <w:b/>
          <w:bCs/>
          <w:sz w:val="44"/>
          <w:szCs w:val="44"/>
          <w:highlight w:val="none"/>
        </w:rPr>
        <w:t>本 页 以 下 无 内 容</w:t>
      </w:r>
    </w:p>
    <w:p>
      <w:pPr>
        <w:pStyle w:val="21"/>
        <w:tabs>
          <w:tab w:val="right" w:pos="9070"/>
        </w:tabs>
        <w:adjustRightInd w:val="0"/>
        <w:snapToGrid w:val="0"/>
        <w:spacing w:before="0" w:beforeAutospacing="0" w:after="0" w:afterAutospacing="0" w:line="360" w:lineRule="auto"/>
        <w:jc w:val="center"/>
        <w:rPr>
          <w:b/>
          <w:bCs/>
          <w:sz w:val="44"/>
          <w:szCs w:val="44"/>
          <w:highlight w:val="none"/>
        </w:rPr>
      </w:pPr>
    </w:p>
    <w:p>
      <w:pPr>
        <w:adjustRightInd w:val="0"/>
        <w:snapToGrid w:val="0"/>
        <w:spacing w:line="360" w:lineRule="auto"/>
        <w:rPr>
          <w:rFonts w:ascii="宋体" w:hAnsi="宋体" w:cs="宋体"/>
          <w:highlight w:val="none"/>
        </w:rPr>
      </w:pPr>
    </w:p>
    <w:sectPr>
      <w:pgSz w:w="11906" w:h="16838"/>
      <w:pgMar w:top="1644" w:right="1417" w:bottom="1417" w:left="1417" w:header="971" w:footer="752"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opLinePunct/>
      <w:adjustRightInd w:val="0"/>
      <w:rPr>
        <w:rFonts w:ascii="宋体" w:hAnsi="宋体" w:cs="宋体"/>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posOffset>2391410</wp:posOffset>
              </wp:positionH>
              <wp:positionV relativeFrom="paragraph">
                <wp:posOffset>-85725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102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3pt;margin-top:-6.75pt;height:144pt;width:144pt;mso-position-horizontal-relative:margin;mso-wrap-style:none;z-index:251664384;mso-width-relative:page;mso-height-relative:page;" filled="f" stroked="f" coordsize="21600,21600" o:gfxdata="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4VNX2QAAAAsBAAAPAAAAAAAAAAEAIAAAACIAAABkcnMvZG93bnJldi54&#10;bWxQSwECFAAUAAAACACHTuJA9YuHZDICAABhBAAADgAAAAAAAAABACAAAAAoAQAAZHJzL2Uyb0Rv&#10;Yy54bWxQSwUGAAAAAAYABgBZAQAAzA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102</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posOffset>2508250</wp:posOffset>
              </wp:positionH>
              <wp:positionV relativeFrom="paragraph">
                <wp:posOffset>-175260</wp:posOffset>
              </wp:positionV>
              <wp:extent cx="1330325" cy="2444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330325" cy="244475"/>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第 </w:t>
                          </w: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20</w:t>
                          </w:r>
                          <w:r>
                            <w:rPr>
                              <w:rFonts w:ascii="Calibri"/>
                              <w:sz w:val="18"/>
                            </w:rPr>
                            <w:fldChar w:fldCharType="end"/>
                          </w:r>
                          <w:r>
                            <w:rPr>
                              <w:rFonts w:ascii="Calibri"/>
                              <w:sz w:val="18"/>
                            </w:rPr>
                            <w:t xml:space="preserve"> 页 共 </w:t>
                          </w:r>
                          <w:r>
                            <w:rPr>
                              <w:rFonts w:hint="eastAsia" w:ascii="Calibri"/>
                              <w:sz w:val="18"/>
                              <w:lang w:val="en-US" w:eastAsia="zh-CN"/>
                            </w:rPr>
                            <w:t>102</w:t>
                          </w:r>
                          <w:r>
                            <w:rPr>
                              <w:rFonts w:ascii="Calibri"/>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left:197.5pt;margin-top:-13.8pt;height:19.25pt;width:104.75pt;mso-position-horizontal-relative:margin;z-index:251659264;mso-width-relative:page;mso-height-relative:page;" filled="f" stroked="f" coordsize="21600,21600" o:gfxdata="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sWVvTZAAAACgEAAA8AAAAAAAAAAQAgAAAAIgAAAGRycy9kb3ducmV2LnhtbFBL&#10;AQIUABQAAAAIAIdO4kBld+iOvAEAAHQDAAAOAAAAAAAAAAEAIAAAACg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第 </w:t>
                    </w: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20</w:t>
                    </w:r>
                    <w:r>
                      <w:rPr>
                        <w:rFonts w:ascii="Calibri"/>
                        <w:sz w:val="18"/>
                      </w:rPr>
                      <w:fldChar w:fldCharType="end"/>
                    </w:r>
                    <w:r>
                      <w:rPr>
                        <w:rFonts w:ascii="Calibri"/>
                        <w:sz w:val="18"/>
                      </w:rPr>
                      <w:t xml:space="preserve"> 页 共 </w:t>
                    </w:r>
                    <w:r>
                      <w:rPr>
                        <w:rFonts w:hint="eastAsia" w:ascii="Calibri"/>
                        <w:sz w:val="18"/>
                        <w:lang w:val="en-US" w:eastAsia="zh-CN"/>
                      </w:rPr>
                      <w:t>102</w:t>
                    </w:r>
                    <w:r>
                      <w:rPr>
                        <w:rFonts w:ascii="Calibri"/>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74</w:t>
                          </w:r>
                          <w:r>
                            <w:fldChar w:fldCharType="end"/>
                          </w:r>
                          <w:r>
                            <w:t xml:space="preserve"> 页 共 </w:t>
                          </w:r>
                          <w:r>
                            <w:rPr>
                              <w:rFonts w:hint="eastAsia"/>
                              <w:lang w:val="en-US" w:eastAsia="zh-CN"/>
                            </w:rPr>
                            <w:t>102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74</w:t>
                    </w:r>
                    <w:r>
                      <w:fldChar w:fldCharType="end"/>
                    </w:r>
                    <w:r>
                      <w:t xml:space="preserve"> 页 共 </w:t>
                    </w:r>
                    <w:r>
                      <w:rPr>
                        <w:rFonts w:hint="eastAsia"/>
                        <w:lang w:val="en-US" w:eastAsia="zh-CN"/>
                      </w:rPr>
                      <w:t>102</w:t>
                    </w:r>
                    <w:r>
                      <w:t xml:space="preserve"> 页</w:t>
                    </w:r>
                  </w:p>
                </w:txbxContent>
              </v:textbox>
            </v:shape>
          </w:pict>
        </mc:Fallback>
      </mc:AlternateContent>
    </w:r>
    <w:r>
      <w:rPr>
        <w:rFonts w:hint="eastAsia"/>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73</w:t>
                          </w:r>
                          <w:r>
                            <w:fldChar w:fldCharType="end"/>
                          </w:r>
                          <w:r>
                            <w:t xml:space="preserve"> 页 共 </w:t>
                          </w:r>
                          <w:r>
                            <w:rPr>
                              <w:rFonts w:hint="eastAsia"/>
                              <w:lang w:val="en-US" w:eastAsia="zh-CN"/>
                            </w:rPr>
                            <w:t>103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73</w:t>
                    </w:r>
                    <w:r>
                      <w:fldChar w:fldCharType="end"/>
                    </w:r>
                    <w:r>
                      <w:t xml:space="preserve"> 页 共 </w:t>
                    </w:r>
                    <w:r>
                      <w:rPr>
                        <w:rFonts w:hint="eastAsia"/>
                        <w:lang w:val="en-US" w:eastAsia="zh-CN"/>
                      </w:rPr>
                      <w:t>103</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98550" cy="1854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9855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85</w:t>
                          </w:r>
                          <w:r>
                            <w:fldChar w:fldCharType="end"/>
                          </w:r>
                          <w:r>
                            <w:t xml:space="preserve"> 页 共 </w:t>
                          </w:r>
                          <w:r>
                            <w:rPr>
                              <w:rFonts w:hint="eastAsia"/>
                              <w:lang w:val="en-US" w:eastAsia="zh-CN"/>
                            </w:rPr>
                            <w:t>102</w:t>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6pt;width:86.5pt;mso-position-horizontal:center;mso-position-horizontal-relative:margin;z-index:251662336;mso-width-relative:page;mso-height-relative:page;" filled="f" stroked="f" coordsize="21600,21600" o:gfxdata="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8m28LTAAAABAEAAA8AAAAAAAAAAQAgAAAAIgAAAGRycy9kb3ducmV2LnhtbFBLAQIU&#10;ABQAAAAIAIdO4kCk8uQDMQIAAFgEAAAOAAAAAAAAAAEAIAAAACIBAABkcnMvZTJvRG9jLnhtbFBL&#10;BQYAAAAABgAGAFkBAADFBQAAAAA=&#10;">
              <v:fill on="f" focussize="0,0"/>
              <v:stroke on="f" weight="0.5pt"/>
              <v:imagedata o:title=""/>
              <o:lock v:ext="edit" aspectratio="f"/>
              <v:textbox inset="0mm,0mm,0mm,0mm">
                <w:txbxContent>
                  <w:p>
                    <w:pPr>
                      <w:pStyle w:val="16"/>
                    </w:pPr>
                    <w:r>
                      <w:t xml:space="preserve">第 </w:t>
                    </w:r>
                    <w:r>
                      <w:fldChar w:fldCharType="begin"/>
                    </w:r>
                    <w:r>
                      <w:instrText xml:space="preserve"> PAGE  \* MERGEFORMAT </w:instrText>
                    </w:r>
                    <w:r>
                      <w:fldChar w:fldCharType="separate"/>
                    </w:r>
                    <w:r>
                      <w:t>85</w:t>
                    </w:r>
                    <w:r>
                      <w:fldChar w:fldCharType="end"/>
                    </w:r>
                    <w:r>
                      <w:t xml:space="preserve"> 页 共 </w:t>
                    </w:r>
                    <w:r>
                      <w:rPr>
                        <w:rFonts w:hint="eastAsia"/>
                        <w:lang w:val="en-US" w:eastAsia="zh-CN"/>
                      </w:rPr>
                      <w:t>102</w:t>
                    </w:r>
                    <w:r>
                      <w:t xml:space="preserve"> 页</w:t>
                    </w:r>
                  </w:p>
                </w:txbxContent>
              </v:textbox>
            </v:shape>
          </w:pict>
        </mc:Fallback>
      </mc:AlternateContent>
    </w:r>
    <w:r>
      <w:rPr>
        <w:rFonts w:hint="eastAsia"/>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102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102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r>
      <w:rPr>
        <w:sz w:val="28"/>
        <w:szCs w:val="28"/>
      </w:rPr>
      <w:pict>
        <v:shape id="艺术字 47" o:spid="_x0000_s2050" o:spt="136" type="#_x0000_t136" style="position:absolute;left:0pt;margin-left:359.6pt;margin-top:8.1pt;height:10.1pt;width:89.3pt;mso-wrap-distance-bottom:0pt;mso-wrap-distance-left:9pt;mso-wrap-distance-right:9pt;mso-wrap-distance-top:0pt;z-index:251664384;mso-width-relative:page;mso-height-relative:page;" fillcolor="#365F91" filled="t" coordsize="21600,21600">
          <v:path/>
          <v:fill on="t" focussize="0,0"/>
          <v:stroke/>
          <v:imagedata o:title=""/>
          <o:lock v:ext="edit" text="f"/>
          <v:textpath on="t" fitshape="t" fitpath="t" trim="t" xscale="f" string="公 平 公 正 守 诚" style="font-family:幼圆;font-size:10pt;font-weight:bold;v-text-align:letter-justify;v-text-spacing:98304f;"/>
          <w10:wrap type="square"/>
        </v:shape>
      </w:pict>
    </w:r>
    <w:r>
      <w:rPr>
        <w:rFonts w:hint="eastAsia"/>
        <w:sz w:val="28"/>
        <w:szCs w:val="28"/>
      </w:rPr>
      <w:drawing>
        <wp:anchor distT="0" distB="0" distL="114300" distR="114300" simplePos="0" relativeHeight="251660288" behindDoc="0" locked="0" layoutInCell="1" allowOverlap="1">
          <wp:simplePos x="0" y="0"/>
          <wp:positionH relativeFrom="column">
            <wp:posOffset>-42545</wp:posOffset>
          </wp:positionH>
          <wp:positionV relativeFrom="paragraph">
            <wp:posOffset>8255</wp:posOffset>
          </wp:positionV>
          <wp:extent cx="2216785" cy="345440"/>
          <wp:effectExtent l="0" t="0" r="12065" b="16510"/>
          <wp:wrapSquare wrapText="bothSides"/>
          <wp:docPr id="4" name="图片 46" descr="微信图片_2018031315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6" descr="微信图片_20180313155027"/>
                  <pic:cNvPicPr>
                    <a:picLocks noChangeAspect="1"/>
                  </pic:cNvPicPr>
                </pic:nvPicPr>
                <pic:blipFill>
                  <a:blip r:embed="rId1"/>
                  <a:stretch>
                    <a:fillRect/>
                  </a:stretch>
                </pic:blipFill>
                <pic:spPr>
                  <a:xfrm>
                    <a:off x="0" y="0"/>
                    <a:ext cx="2216785" cy="3454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580D8"/>
    <w:multiLevelType w:val="singleLevel"/>
    <w:tmpl w:val="CB9580D8"/>
    <w:lvl w:ilvl="0" w:tentative="0">
      <w:start w:val="1"/>
      <w:numFmt w:val="decimal"/>
      <w:lvlText w:val="%1."/>
      <w:lvlJc w:val="left"/>
      <w:pPr>
        <w:tabs>
          <w:tab w:val="left" w:pos="312"/>
        </w:tabs>
      </w:pPr>
    </w:lvl>
  </w:abstractNum>
  <w:abstractNum w:abstractNumId="1">
    <w:nsid w:val="CEB11926"/>
    <w:multiLevelType w:val="singleLevel"/>
    <w:tmpl w:val="CEB11926"/>
    <w:lvl w:ilvl="0" w:tentative="0">
      <w:start w:val="6"/>
      <w:numFmt w:val="decimal"/>
      <w:suff w:val="nothing"/>
      <w:lvlText w:val="（%1）"/>
      <w:lvlJc w:val="left"/>
    </w:lvl>
  </w:abstractNum>
  <w:abstractNum w:abstractNumId="2">
    <w:nsid w:val="DF286779"/>
    <w:multiLevelType w:val="singleLevel"/>
    <w:tmpl w:val="DF286779"/>
    <w:lvl w:ilvl="0" w:tentative="0">
      <w:start w:val="1"/>
      <w:numFmt w:val="decimal"/>
      <w:suff w:val="nothing"/>
      <w:lvlText w:val="%1、"/>
      <w:lvlJc w:val="left"/>
    </w:lvl>
  </w:abstractNum>
  <w:abstractNum w:abstractNumId="3">
    <w:nsid w:val="EA5F6106"/>
    <w:multiLevelType w:val="singleLevel"/>
    <w:tmpl w:val="EA5F6106"/>
    <w:lvl w:ilvl="0" w:tentative="0">
      <w:start w:val="6"/>
      <w:numFmt w:val="chineseCounting"/>
      <w:suff w:val="nothing"/>
      <w:lvlText w:val="%1、"/>
      <w:lvlJc w:val="left"/>
      <w:rPr>
        <w:rFonts w:hint="eastAsia"/>
      </w:rPr>
    </w:lvl>
  </w:abstractNum>
  <w:abstractNum w:abstractNumId="4">
    <w:nsid w:val="46A08BB8"/>
    <w:multiLevelType w:val="multilevel"/>
    <w:tmpl w:val="46A08BB8"/>
    <w:lvl w:ilvl="0" w:tentative="0">
      <w:start w:val="1"/>
      <w:numFmt w:val="decimal"/>
      <w:lvlText w:val="%1）"/>
      <w:lvlJc w:val="left"/>
      <w:pPr>
        <w:ind w:left="844" w:hanging="3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349" w:hanging="316"/>
      </w:pPr>
      <w:rPr>
        <w:rFonts w:hint="default"/>
        <w:lang w:val="zh-CN" w:eastAsia="zh-CN" w:bidi="zh-CN"/>
      </w:rPr>
    </w:lvl>
    <w:lvl w:ilvl="2" w:tentative="0">
      <w:start w:val="0"/>
      <w:numFmt w:val="bullet"/>
      <w:lvlText w:val="•"/>
      <w:lvlJc w:val="left"/>
      <w:pPr>
        <w:ind w:left="1858" w:hanging="316"/>
      </w:pPr>
      <w:rPr>
        <w:rFonts w:hint="default"/>
        <w:lang w:val="zh-CN" w:eastAsia="zh-CN" w:bidi="zh-CN"/>
      </w:rPr>
    </w:lvl>
    <w:lvl w:ilvl="3" w:tentative="0">
      <w:start w:val="0"/>
      <w:numFmt w:val="bullet"/>
      <w:lvlText w:val="•"/>
      <w:lvlJc w:val="left"/>
      <w:pPr>
        <w:ind w:left="2367" w:hanging="316"/>
      </w:pPr>
      <w:rPr>
        <w:rFonts w:hint="default"/>
        <w:lang w:val="zh-CN" w:eastAsia="zh-CN" w:bidi="zh-CN"/>
      </w:rPr>
    </w:lvl>
    <w:lvl w:ilvl="4" w:tentative="0">
      <w:start w:val="0"/>
      <w:numFmt w:val="bullet"/>
      <w:lvlText w:val="•"/>
      <w:lvlJc w:val="left"/>
      <w:pPr>
        <w:ind w:left="2877" w:hanging="316"/>
      </w:pPr>
      <w:rPr>
        <w:rFonts w:hint="default"/>
        <w:lang w:val="zh-CN" w:eastAsia="zh-CN" w:bidi="zh-CN"/>
      </w:rPr>
    </w:lvl>
    <w:lvl w:ilvl="5" w:tentative="0">
      <w:start w:val="0"/>
      <w:numFmt w:val="bullet"/>
      <w:lvlText w:val="•"/>
      <w:lvlJc w:val="left"/>
      <w:pPr>
        <w:ind w:left="3386" w:hanging="316"/>
      </w:pPr>
      <w:rPr>
        <w:rFonts w:hint="default"/>
        <w:lang w:val="zh-CN" w:eastAsia="zh-CN" w:bidi="zh-CN"/>
      </w:rPr>
    </w:lvl>
    <w:lvl w:ilvl="6" w:tentative="0">
      <w:start w:val="0"/>
      <w:numFmt w:val="bullet"/>
      <w:lvlText w:val="•"/>
      <w:lvlJc w:val="left"/>
      <w:pPr>
        <w:ind w:left="3895" w:hanging="316"/>
      </w:pPr>
      <w:rPr>
        <w:rFonts w:hint="default"/>
        <w:lang w:val="zh-CN" w:eastAsia="zh-CN" w:bidi="zh-CN"/>
      </w:rPr>
    </w:lvl>
    <w:lvl w:ilvl="7" w:tentative="0">
      <w:start w:val="0"/>
      <w:numFmt w:val="bullet"/>
      <w:lvlText w:val="•"/>
      <w:lvlJc w:val="left"/>
      <w:pPr>
        <w:ind w:left="4405" w:hanging="316"/>
      </w:pPr>
      <w:rPr>
        <w:rFonts w:hint="default"/>
        <w:lang w:val="zh-CN" w:eastAsia="zh-CN" w:bidi="zh-CN"/>
      </w:rPr>
    </w:lvl>
    <w:lvl w:ilvl="8" w:tentative="0">
      <w:start w:val="0"/>
      <w:numFmt w:val="bullet"/>
      <w:lvlText w:val="•"/>
      <w:lvlJc w:val="left"/>
      <w:pPr>
        <w:ind w:left="4914" w:hanging="316"/>
      </w:pPr>
      <w:rPr>
        <w:rFonts w:hint="default"/>
        <w:lang w:val="zh-CN" w:eastAsia="zh-CN" w:bidi="zh-CN"/>
      </w:rPr>
    </w:lvl>
  </w:abstractNum>
  <w:abstractNum w:abstractNumId="5">
    <w:nsid w:val="4FB6D8C7"/>
    <w:multiLevelType w:val="singleLevel"/>
    <w:tmpl w:val="4FB6D8C7"/>
    <w:lvl w:ilvl="0" w:tentative="0">
      <w:start w:val="1"/>
      <w:numFmt w:val="decimal"/>
      <w:lvlText w:val="%1."/>
      <w:lvlJc w:val="left"/>
      <w:pPr>
        <w:tabs>
          <w:tab w:val="left" w:pos="312"/>
        </w:tabs>
      </w:pPr>
    </w:lvl>
  </w:abstractNum>
  <w:abstractNum w:abstractNumId="6">
    <w:nsid w:val="77ECEA79"/>
    <w:multiLevelType w:val="multilevel"/>
    <w:tmpl w:val="77ECEA79"/>
    <w:lvl w:ilvl="0" w:tentative="0">
      <w:start w:val="1"/>
      <w:numFmt w:val="decimal"/>
      <w:lvlText w:val="（%1）"/>
      <w:lvlJc w:val="left"/>
      <w:pPr>
        <w:ind w:left="1406" w:hanging="526"/>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2336" w:hanging="526"/>
      </w:pPr>
      <w:rPr>
        <w:rFonts w:hint="default"/>
        <w:lang w:val="zh-CN" w:eastAsia="zh-CN" w:bidi="zh-CN"/>
      </w:rPr>
    </w:lvl>
    <w:lvl w:ilvl="2" w:tentative="0">
      <w:start w:val="0"/>
      <w:numFmt w:val="bullet"/>
      <w:lvlText w:val="•"/>
      <w:lvlJc w:val="left"/>
      <w:pPr>
        <w:ind w:left="3273" w:hanging="526"/>
      </w:pPr>
      <w:rPr>
        <w:rFonts w:hint="default"/>
        <w:lang w:val="zh-CN" w:eastAsia="zh-CN" w:bidi="zh-CN"/>
      </w:rPr>
    </w:lvl>
    <w:lvl w:ilvl="3" w:tentative="0">
      <w:start w:val="0"/>
      <w:numFmt w:val="bullet"/>
      <w:lvlText w:val="•"/>
      <w:lvlJc w:val="left"/>
      <w:pPr>
        <w:ind w:left="4209" w:hanging="526"/>
      </w:pPr>
      <w:rPr>
        <w:rFonts w:hint="default"/>
        <w:lang w:val="zh-CN" w:eastAsia="zh-CN" w:bidi="zh-CN"/>
      </w:rPr>
    </w:lvl>
    <w:lvl w:ilvl="4" w:tentative="0">
      <w:start w:val="0"/>
      <w:numFmt w:val="bullet"/>
      <w:lvlText w:val="•"/>
      <w:lvlJc w:val="left"/>
      <w:pPr>
        <w:ind w:left="5146" w:hanging="526"/>
      </w:pPr>
      <w:rPr>
        <w:rFonts w:hint="default"/>
        <w:lang w:val="zh-CN" w:eastAsia="zh-CN" w:bidi="zh-CN"/>
      </w:rPr>
    </w:lvl>
    <w:lvl w:ilvl="5" w:tentative="0">
      <w:start w:val="0"/>
      <w:numFmt w:val="bullet"/>
      <w:lvlText w:val="•"/>
      <w:lvlJc w:val="left"/>
      <w:pPr>
        <w:ind w:left="6083" w:hanging="526"/>
      </w:pPr>
      <w:rPr>
        <w:rFonts w:hint="default"/>
        <w:lang w:val="zh-CN" w:eastAsia="zh-CN" w:bidi="zh-CN"/>
      </w:rPr>
    </w:lvl>
    <w:lvl w:ilvl="6" w:tentative="0">
      <w:start w:val="0"/>
      <w:numFmt w:val="bullet"/>
      <w:lvlText w:val="•"/>
      <w:lvlJc w:val="left"/>
      <w:pPr>
        <w:ind w:left="7019" w:hanging="526"/>
      </w:pPr>
      <w:rPr>
        <w:rFonts w:hint="default"/>
        <w:lang w:val="zh-CN" w:eastAsia="zh-CN" w:bidi="zh-CN"/>
      </w:rPr>
    </w:lvl>
    <w:lvl w:ilvl="7" w:tentative="0">
      <w:start w:val="0"/>
      <w:numFmt w:val="bullet"/>
      <w:lvlText w:val="•"/>
      <w:lvlJc w:val="left"/>
      <w:pPr>
        <w:ind w:left="7956" w:hanging="526"/>
      </w:pPr>
      <w:rPr>
        <w:rFonts w:hint="default"/>
        <w:lang w:val="zh-CN" w:eastAsia="zh-CN" w:bidi="zh-CN"/>
      </w:rPr>
    </w:lvl>
    <w:lvl w:ilvl="8" w:tentative="0">
      <w:start w:val="0"/>
      <w:numFmt w:val="bullet"/>
      <w:lvlText w:val="•"/>
      <w:lvlJc w:val="left"/>
      <w:pPr>
        <w:ind w:left="8892" w:hanging="526"/>
      </w:pPr>
      <w:rPr>
        <w:rFonts w:hint="default"/>
        <w:lang w:val="zh-CN" w:eastAsia="zh-CN" w:bidi="zh-CN"/>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GQ3YWU2ODAwY2EwMWZjNjJkMjA4NDA3OGQyZjQifQ=="/>
  </w:docVars>
  <w:rsids>
    <w:rsidRoot w:val="00172A27"/>
    <w:rsid w:val="000D5A67"/>
    <w:rsid w:val="00172A27"/>
    <w:rsid w:val="003F20D0"/>
    <w:rsid w:val="00467A6B"/>
    <w:rsid w:val="00706FCA"/>
    <w:rsid w:val="007A5AC1"/>
    <w:rsid w:val="00AF41C2"/>
    <w:rsid w:val="019D3357"/>
    <w:rsid w:val="0224579B"/>
    <w:rsid w:val="023A75D3"/>
    <w:rsid w:val="02A167BF"/>
    <w:rsid w:val="02A32B7C"/>
    <w:rsid w:val="02E4773F"/>
    <w:rsid w:val="031E6D75"/>
    <w:rsid w:val="0348618D"/>
    <w:rsid w:val="045948B9"/>
    <w:rsid w:val="06DB5892"/>
    <w:rsid w:val="076F2A0D"/>
    <w:rsid w:val="078B0B8E"/>
    <w:rsid w:val="07E568E5"/>
    <w:rsid w:val="08581079"/>
    <w:rsid w:val="087903AA"/>
    <w:rsid w:val="09FF1CA1"/>
    <w:rsid w:val="0AEB45DF"/>
    <w:rsid w:val="0B9A7B9D"/>
    <w:rsid w:val="0BB4154B"/>
    <w:rsid w:val="0C433074"/>
    <w:rsid w:val="0C9A296F"/>
    <w:rsid w:val="0CB770F3"/>
    <w:rsid w:val="0D4A2BC1"/>
    <w:rsid w:val="0D6167C5"/>
    <w:rsid w:val="0DB23BA9"/>
    <w:rsid w:val="0DC47D23"/>
    <w:rsid w:val="0DF06530"/>
    <w:rsid w:val="0E367293"/>
    <w:rsid w:val="0E756C1B"/>
    <w:rsid w:val="0E9D5EB6"/>
    <w:rsid w:val="0EE619DD"/>
    <w:rsid w:val="0F136D10"/>
    <w:rsid w:val="0F6B61F9"/>
    <w:rsid w:val="0F803C90"/>
    <w:rsid w:val="0FD154E3"/>
    <w:rsid w:val="10041509"/>
    <w:rsid w:val="10482F5B"/>
    <w:rsid w:val="112C4F11"/>
    <w:rsid w:val="11344A0F"/>
    <w:rsid w:val="114F40E3"/>
    <w:rsid w:val="11601126"/>
    <w:rsid w:val="11842F77"/>
    <w:rsid w:val="11C90D6E"/>
    <w:rsid w:val="12D17C87"/>
    <w:rsid w:val="13AE6E60"/>
    <w:rsid w:val="14C214D2"/>
    <w:rsid w:val="1535238E"/>
    <w:rsid w:val="16675C48"/>
    <w:rsid w:val="16756F56"/>
    <w:rsid w:val="16AC6446"/>
    <w:rsid w:val="16B00F9F"/>
    <w:rsid w:val="16F136FE"/>
    <w:rsid w:val="17327821"/>
    <w:rsid w:val="1793480B"/>
    <w:rsid w:val="17BC01DD"/>
    <w:rsid w:val="18AE7C06"/>
    <w:rsid w:val="18D472F2"/>
    <w:rsid w:val="19D63CFD"/>
    <w:rsid w:val="1A605B5F"/>
    <w:rsid w:val="1A906F88"/>
    <w:rsid w:val="1B017CBC"/>
    <w:rsid w:val="1C1B2768"/>
    <w:rsid w:val="1D2339F4"/>
    <w:rsid w:val="1D772B72"/>
    <w:rsid w:val="1E4203EA"/>
    <w:rsid w:val="1E795B48"/>
    <w:rsid w:val="1ED85284"/>
    <w:rsid w:val="1F11276F"/>
    <w:rsid w:val="1F73550A"/>
    <w:rsid w:val="206225E7"/>
    <w:rsid w:val="209318E4"/>
    <w:rsid w:val="21AF0607"/>
    <w:rsid w:val="25D61EA8"/>
    <w:rsid w:val="26467BAD"/>
    <w:rsid w:val="274F422B"/>
    <w:rsid w:val="27A12621"/>
    <w:rsid w:val="27CC38D1"/>
    <w:rsid w:val="2B572696"/>
    <w:rsid w:val="2C6A61C8"/>
    <w:rsid w:val="2C6F4EA4"/>
    <w:rsid w:val="2C9D02E8"/>
    <w:rsid w:val="2D056F99"/>
    <w:rsid w:val="2E1179CD"/>
    <w:rsid w:val="31C600BE"/>
    <w:rsid w:val="32C43D9C"/>
    <w:rsid w:val="330765B4"/>
    <w:rsid w:val="337451ED"/>
    <w:rsid w:val="346B7351"/>
    <w:rsid w:val="3489056E"/>
    <w:rsid w:val="34AF40BC"/>
    <w:rsid w:val="34C23AD3"/>
    <w:rsid w:val="34C80C9F"/>
    <w:rsid w:val="356F06A5"/>
    <w:rsid w:val="35A84EF4"/>
    <w:rsid w:val="36832F89"/>
    <w:rsid w:val="36CD27DB"/>
    <w:rsid w:val="38241DC0"/>
    <w:rsid w:val="384A384B"/>
    <w:rsid w:val="38F552B6"/>
    <w:rsid w:val="39224DA2"/>
    <w:rsid w:val="39304288"/>
    <w:rsid w:val="39ED4AEC"/>
    <w:rsid w:val="3AC0228B"/>
    <w:rsid w:val="3B9C548A"/>
    <w:rsid w:val="3C9F782F"/>
    <w:rsid w:val="3D336076"/>
    <w:rsid w:val="3E4D3A77"/>
    <w:rsid w:val="3EB260DA"/>
    <w:rsid w:val="3F186157"/>
    <w:rsid w:val="403C06FD"/>
    <w:rsid w:val="41D97534"/>
    <w:rsid w:val="446947E7"/>
    <w:rsid w:val="4606725E"/>
    <w:rsid w:val="460A5766"/>
    <w:rsid w:val="465F3126"/>
    <w:rsid w:val="470C6E46"/>
    <w:rsid w:val="47A73327"/>
    <w:rsid w:val="47B15611"/>
    <w:rsid w:val="48555769"/>
    <w:rsid w:val="493A6869"/>
    <w:rsid w:val="497076C1"/>
    <w:rsid w:val="49BF6593"/>
    <w:rsid w:val="4AAD3677"/>
    <w:rsid w:val="4AEA3F6D"/>
    <w:rsid w:val="4B0741D2"/>
    <w:rsid w:val="4B5E31D4"/>
    <w:rsid w:val="4BAC2722"/>
    <w:rsid w:val="4BF0630A"/>
    <w:rsid w:val="4C486ECD"/>
    <w:rsid w:val="4CEF068E"/>
    <w:rsid w:val="4D6160D6"/>
    <w:rsid w:val="4DE57B7C"/>
    <w:rsid w:val="4DF26874"/>
    <w:rsid w:val="4E17530C"/>
    <w:rsid w:val="4E8E04BB"/>
    <w:rsid w:val="4F861231"/>
    <w:rsid w:val="4FB55522"/>
    <w:rsid w:val="50333CC9"/>
    <w:rsid w:val="52565F4D"/>
    <w:rsid w:val="5296086C"/>
    <w:rsid w:val="52AC7042"/>
    <w:rsid w:val="52C60B4B"/>
    <w:rsid w:val="531C4B1A"/>
    <w:rsid w:val="53774EB5"/>
    <w:rsid w:val="540F562E"/>
    <w:rsid w:val="54EF1555"/>
    <w:rsid w:val="55434948"/>
    <w:rsid w:val="55DF1359"/>
    <w:rsid w:val="56DD1B81"/>
    <w:rsid w:val="577F6494"/>
    <w:rsid w:val="57AB6AC5"/>
    <w:rsid w:val="57C16C9A"/>
    <w:rsid w:val="57EA263D"/>
    <w:rsid w:val="58961C9F"/>
    <w:rsid w:val="591707D6"/>
    <w:rsid w:val="593273A1"/>
    <w:rsid w:val="59817257"/>
    <w:rsid w:val="5B081188"/>
    <w:rsid w:val="5C2415AC"/>
    <w:rsid w:val="5C6E1CE2"/>
    <w:rsid w:val="5CB506F4"/>
    <w:rsid w:val="5CC5771F"/>
    <w:rsid w:val="5DB07DC8"/>
    <w:rsid w:val="5DC8720D"/>
    <w:rsid w:val="5E5B03D5"/>
    <w:rsid w:val="5E5E57DE"/>
    <w:rsid w:val="5EDB4642"/>
    <w:rsid w:val="602531F6"/>
    <w:rsid w:val="6128467B"/>
    <w:rsid w:val="619C752A"/>
    <w:rsid w:val="61B34D40"/>
    <w:rsid w:val="61D90BA0"/>
    <w:rsid w:val="63153DB0"/>
    <w:rsid w:val="632D26F3"/>
    <w:rsid w:val="63422202"/>
    <w:rsid w:val="63657DE5"/>
    <w:rsid w:val="63B27D59"/>
    <w:rsid w:val="63DD4E12"/>
    <w:rsid w:val="64AF77F2"/>
    <w:rsid w:val="65DE72D6"/>
    <w:rsid w:val="66A05C44"/>
    <w:rsid w:val="673B31B7"/>
    <w:rsid w:val="67B33C14"/>
    <w:rsid w:val="687F0FD3"/>
    <w:rsid w:val="6960032A"/>
    <w:rsid w:val="6C6F6305"/>
    <w:rsid w:val="6CA063C6"/>
    <w:rsid w:val="6E291837"/>
    <w:rsid w:val="6F7E087D"/>
    <w:rsid w:val="6FBE0A2D"/>
    <w:rsid w:val="6FC864B6"/>
    <w:rsid w:val="709267E6"/>
    <w:rsid w:val="70AA552C"/>
    <w:rsid w:val="70B5759E"/>
    <w:rsid w:val="70DA0D3E"/>
    <w:rsid w:val="716245A7"/>
    <w:rsid w:val="721D4D18"/>
    <w:rsid w:val="72723AB4"/>
    <w:rsid w:val="72A52E07"/>
    <w:rsid w:val="73CE431B"/>
    <w:rsid w:val="74265812"/>
    <w:rsid w:val="76987AA5"/>
    <w:rsid w:val="770025E3"/>
    <w:rsid w:val="771E5F3E"/>
    <w:rsid w:val="77DA2E20"/>
    <w:rsid w:val="77EE1869"/>
    <w:rsid w:val="781461B6"/>
    <w:rsid w:val="790F036B"/>
    <w:rsid w:val="79B20D20"/>
    <w:rsid w:val="7B6F06BF"/>
    <w:rsid w:val="7BCC26C2"/>
    <w:rsid w:val="7BFF6D9D"/>
    <w:rsid w:val="7D3A7FA4"/>
    <w:rsid w:val="7D7C5051"/>
    <w:rsid w:val="7D9A30BD"/>
    <w:rsid w:val="7E324A50"/>
    <w:rsid w:val="7EFF1796"/>
    <w:rsid w:val="7F2C3E00"/>
    <w:rsid w:val="7F3F7F7A"/>
    <w:rsid w:val="7F441D77"/>
    <w:rsid w:val="7F723847"/>
    <w:rsid w:val="7F922851"/>
    <w:rsid w:val="7FF4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jc w:val="center"/>
      <w:outlineLvl w:val="0"/>
    </w:pPr>
    <w:rPr>
      <w:rFonts w:ascii="宋体" w:hAnsi="宋体" w:eastAsia="宋体"/>
      <w:b/>
      <w:kern w:val="0"/>
      <w:sz w:val="36"/>
    </w:rPr>
  </w:style>
  <w:style w:type="paragraph" w:styleId="4">
    <w:name w:val="heading 2"/>
    <w:basedOn w:val="1"/>
    <w:next w:val="1"/>
    <w:link w:val="52"/>
    <w:unhideWhenUsed/>
    <w:qFormat/>
    <w:uiPriority w:val="0"/>
    <w:pPr>
      <w:keepNext/>
      <w:keepLines/>
      <w:spacing w:line="240" w:lineRule="auto"/>
      <w:jc w:val="center"/>
      <w:outlineLvl w:val="1"/>
    </w:pPr>
    <w:rPr>
      <w:rFonts w:ascii="宋体" w:hAnsi="宋体" w:eastAsia="宋体" w:cs="宋体"/>
      <w:b/>
      <w:bCs/>
      <w:sz w:val="28"/>
      <w:szCs w:val="32"/>
    </w:rPr>
  </w:style>
  <w:style w:type="paragraph" w:styleId="5">
    <w:name w:val="heading 3"/>
    <w:basedOn w:val="1"/>
    <w:next w:val="1"/>
    <w:unhideWhenUsed/>
    <w:qFormat/>
    <w:uiPriority w:val="9"/>
    <w:pPr>
      <w:spacing w:line="240" w:lineRule="auto"/>
      <w:outlineLvl w:val="2"/>
    </w:pPr>
    <w:rPr>
      <w:rFonts w:ascii="宋体" w:hAnsi="宋体" w:eastAsia="宋体" w:cs="宋体"/>
      <w:b/>
      <w:bCs/>
      <w:sz w:val="28"/>
    </w:rPr>
  </w:style>
  <w:style w:type="paragraph" w:styleId="2">
    <w:name w:val="heading 4"/>
    <w:basedOn w:val="1"/>
    <w:next w:val="1"/>
    <w:qFormat/>
    <w:uiPriority w:val="0"/>
    <w:pPr>
      <w:keepNext/>
      <w:spacing w:line="240" w:lineRule="auto"/>
      <w:jc w:val="left"/>
      <w:outlineLvl w:val="3"/>
    </w:pPr>
    <w:rPr>
      <w:rFonts w:ascii="宋体" w:hAnsi="宋体" w:eastAsia="宋体"/>
      <w:b/>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toc 4"/>
    <w:basedOn w:val="1"/>
    <w:next w:val="1"/>
    <w:unhideWhenUsed/>
    <w:qFormat/>
    <w:uiPriority w:val="31"/>
    <w:pPr>
      <w:ind w:left="1275"/>
    </w:pPr>
    <w:rPr>
      <w:rFonts w:ascii="Calibri" w:hAnsi="Calibri"/>
      <w:szCs w:val="21"/>
    </w:rPr>
  </w:style>
  <w:style w:type="paragraph" w:styleId="8">
    <w:name w:val="annotation text"/>
    <w:basedOn w:val="1"/>
    <w:qFormat/>
    <w:uiPriority w:val="0"/>
    <w:pPr>
      <w:jc w:val="left"/>
    </w:pPr>
  </w:style>
  <w:style w:type="paragraph" w:styleId="9">
    <w:name w:val="Body Text 3"/>
    <w:basedOn w:val="1"/>
    <w:qFormat/>
    <w:uiPriority w:val="0"/>
    <w:rPr>
      <w:rFonts w:ascii="宋体"/>
      <w:sz w:val="24"/>
    </w:rPr>
  </w:style>
  <w:style w:type="paragraph" w:styleId="10">
    <w:name w:val="Body Text"/>
    <w:basedOn w:val="1"/>
    <w:next w:val="1"/>
    <w:qFormat/>
    <w:uiPriority w:val="99"/>
    <w:pPr>
      <w:jc w:val="left"/>
    </w:pPr>
    <w:rPr>
      <w:rFonts w:ascii="Copperplate Gothic Bold" w:hAnsi="Copperplate Gothic Bold"/>
      <w:sz w:val="28"/>
    </w:rPr>
  </w:style>
  <w:style w:type="paragraph" w:styleId="11">
    <w:name w:val="Body Text Indent"/>
    <w:basedOn w:val="1"/>
    <w:next w:val="12"/>
    <w:qFormat/>
    <w:uiPriority w:val="0"/>
    <w:pPr>
      <w:spacing w:line="640" w:lineRule="exact"/>
      <w:ind w:firstLine="585"/>
    </w:pPr>
    <w:rPr>
      <w:rFonts w:ascii="楷体_GB2312" w:eastAsia="楷体_GB2312"/>
      <w:sz w:val="32"/>
    </w:rPr>
  </w:style>
  <w:style w:type="paragraph" w:styleId="12">
    <w:name w:val="Body Text First Indent 2"/>
    <w:basedOn w:val="11"/>
    <w:qFormat/>
    <w:uiPriority w:val="0"/>
    <w:pPr>
      <w:ind w:firstLine="420"/>
    </w:pPr>
    <w:rPr>
      <w:rFonts w:ascii="Times New Roman" w:eastAsia="宋体"/>
      <w:sz w:val="21"/>
      <w:szCs w:val="24"/>
    </w:rPr>
  </w:style>
  <w:style w:type="paragraph" w:styleId="13">
    <w:name w:val="Plain Text"/>
    <w:basedOn w:val="1"/>
    <w:qFormat/>
    <w:uiPriority w:val="0"/>
    <w:rPr>
      <w:rFonts w:ascii="宋体" w:hAnsi="Courier New"/>
    </w:rPr>
  </w:style>
  <w:style w:type="paragraph" w:styleId="14">
    <w:name w:val="toc 8"/>
    <w:basedOn w:val="1"/>
    <w:next w:val="1"/>
    <w:qFormat/>
    <w:uiPriority w:val="39"/>
    <w:pPr>
      <w:ind w:left="2940" w:leftChars="1400"/>
    </w:pPr>
  </w:style>
  <w:style w:type="paragraph" w:styleId="15">
    <w:name w:val="Body Text Indent 2"/>
    <w:basedOn w:val="1"/>
    <w:qFormat/>
    <w:uiPriority w:val="0"/>
    <w:pPr>
      <w:spacing w:after="120" w:line="480" w:lineRule="auto"/>
      <w:ind w:left="420" w:leftChars="200"/>
    </w:pPr>
  </w:style>
  <w:style w:type="paragraph" w:styleId="16">
    <w:name w:val="footer"/>
    <w:basedOn w:val="1"/>
    <w:next w:val="14"/>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0"/>
    <w:next w:val="12"/>
    <w:unhideWhenUsed/>
    <w:qFormat/>
    <w:uiPriority w:val="0"/>
    <w:pPr>
      <w:spacing w:after="120"/>
      <w:ind w:firstLine="420" w:firstLineChars="100"/>
    </w:pPr>
    <w:rPr>
      <w:rFonts w:ascii="Calibri" w:hAnsi="Calibri"/>
      <w:sz w:val="18"/>
      <w:szCs w:val="18"/>
    </w:rPr>
  </w:style>
  <w:style w:type="character" w:styleId="25">
    <w:name w:val="Strong"/>
    <w:qFormat/>
    <w:uiPriority w:val="22"/>
    <w:rPr>
      <w:b/>
      <w:bCs/>
    </w:rPr>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style>
  <w:style w:type="character" w:styleId="30">
    <w:name w:val="HTML Typewriter"/>
    <w:basedOn w:val="24"/>
    <w:qFormat/>
    <w:uiPriority w:val="0"/>
    <w:rPr>
      <w:rFonts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0"/>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bdr w:val="single" w:color="BDBEC1" w:sz="6" w:space="0"/>
      <w:shd w:val="clear" w:fill="FFFFFF"/>
    </w:rPr>
  </w:style>
  <w:style w:type="paragraph" w:customStyle="1" w:styleId="38">
    <w:name w:val="目录"/>
    <w:basedOn w:val="1"/>
    <w:qFormat/>
    <w:uiPriority w:val="0"/>
    <w:pPr>
      <w:widowControl/>
      <w:jc w:val="center"/>
    </w:pPr>
    <w:rPr>
      <w:rFonts w:ascii="宋体"/>
      <w:b/>
      <w:kern w:val="0"/>
      <w:sz w:val="36"/>
    </w:rPr>
  </w:style>
  <w:style w:type="paragraph" w:customStyle="1" w:styleId="39">
    <w:name w:val="目录文字"/>
    <w:basedOn w:val="1"/>
    <w:qFormat/>
    <w:uiPriority w:val="0"/>
    <w:pPr>
      <w:widowControl/>
      <w:spacing w:line="480" w:lineRule="auto"/>
      <w:jc w:val="left"/>
    </w:pPr>
    <w:rPr>
      <w:rFonts w:ascii="宋体" w:hAnsi="宋体"/>
      <w:kern w:val="0"/>
      <w:sz w:val="24"/>
    </w:rPr>
  </w:style>
  <w:style w:type="paragraph" w:customStyle="1" w:styleId="40">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41">
    <w:name w:val="正文 New"/>
    <w:qFormat/>
    <w:uiPriority w:val="99"/>
    <w:pPr>
      <w:widowControl w:val="0"/>
      <w:jc w:val="both"/>
    </w:pPr>
    <w:rPr>
      <w:rFonts w:ascii="Calibri" w:hAnsi="Calibri" w:eastAsia="宋体" w:cs="Times New Roman"/>
      <w:lang w:val="en-US" w:eastAsia="zh-CN" w:bidi="ar-SA"/>
    </w:rPr>
  </w:style>
  <w:style w:type="character" w:customStyle="1" w:styleId="42">
    <w:name w:val="NormalCharacter"/>
    <w:qFormat/>
    <w:uiPriority w:val="0"/>
    <w:rPr>
      <w:rFonts w:ascii="Times New Roman" w:hAnsi="Times New Roman" w:eastAsia="宋体" w:cs="Times New Roman"/>
      <w:kern w:val="2"/>
      <w:sz w:val="21"/>
      <w:lang w:val="en-US" w:eastAsia="zh-CN" w:bidi="ar-SA"/>
    </w:rPr>
  </w:style>
  <w:style w:type="character" w:customStyle="1" w:styleId="43">
    <w:name w:val="标题 1 字符"/>
    <w:link w:val="3"/>
    <w:qFormat/>
    <w:uiPriority w:val="0"/>
    <w:rPr>
      <w:rFonts w:ascii="宋体" w:hAnsi="宋体" w:eastAsia="宋体"/>
      <w:b/>
      <w:kern w:val="0"/>
      <w:sz w:val="36"/>
    </w:rPr>
  </w:style>
  <w:style w:type="paragraph" w:customStyle="1" w:styleId="44">
    <w:name w:val="p0"/>
    <w:basedOn w:val="1"/>
    <w:qFormat/>
    <w:uiPriority w:val="0"/>
    <w:pPr>
      <w:widowControl/>
    </w:pPr>
    <w:rPr>
      <w:kern w:val="0"/>
      <w:szCs w:val="21"/>
    </w:rPr>
  </w:style>
  <w:style w:type="paragraph" w:customStyle="1" w:styleId="45">
    <w:name w:val="Heading2"/>
    <w:basedOn w:val="1"/>
    <w:next w:val="1"/>
    <w:qFormat/>
    <w:uiPriority w:val="0"/>
    <w:pPr>
      <w:keepNext/>
      <w:keepLines/>
      <w:spacing w:before="260" w:after="260" w:line="415" w:lineRule="auto"/>
      <w:textAlignment w:val="baseline"/>
    </w:pPr>
    <w:rPr>
      <w:rFonts w:ascii="Arial" w:hAnsi="Arial" w:eastAsia="黑体"/>
      <w:b/>
      <w:sz w:val="32"/>
    </w:rPr>
  </w:style>
  <w:style w:type="paragraph" w:customStyle="1" w:styleId="46">
    <w:name w:val="Char1"/>
    <w:basedOn w:val="1"/>
    <w:qFormat/>
    <w:uiPriority w:val="0"/>
    <w:rPr>
      <w:szCs w:val="21"/>
    </w:rPr>
  </w:style>
  <w:style w:type="paragraph" w:customStyle="1" w:styleId="47">
    <w:name w:val="表格文字"/>
    <w:basedOn w:val="1"/>
    <w:qFormat/>
    <w:uiPriority w:val="0"/>
    <w:pPr>
      <w:spacing w:before="25" w:after="25"/>
      <w:jc w:val="left"/>
    </w:pPr>
    <w:rPr>
      <w:rFonts w:ascii="Calibri" w:hAnsi="Calibri"/>
      <w:bCs/>
      <w:spacing w:val="10"/>
      <w:kern w:val="0"/>
      <w:sz w:val="24"/>
    </w:rPr>
  </w:style>
  <w:style w:type="paragraph" w:customStyle="1" w:styleId="48">
    <w:name w:val="标准正文样式"/>
    <w:basedOn w:val="49"/>
    <w:qFormat/>
    <w:uiPriority w:val="0"/>
    <w:pPr>
      <w:ind w:firstLine="200"/>
    </w:pPr>
  </w:style>
  <w:style w:type="paragraph" w:customStyle="1" w:styleId="49">
    <w:name w:val="样式 样式 正文首行缩进 2 + 首行缩进:  2 字符 + 首行缩进:  2 字符"/>
    <w:basedOn w:val="1"/>
    <w:qFormat/>
    <w:uiPriority w:val="0"/>
    <w:pPr>
      <w:spacing w:line="360" w:lineRule="auto"/>
      <w:ind w:firstLine="480" w:firstLineChars="200"/>
    </w:pPr>
    <w:rPr>
      <w:sz w:val="24"/>
    </w:rPr>
  </w:style>
  <w:style w:type="character" w:customStyle="1" w:styleId="50">
    <w:name w:val="font81"/>
    <w:basedOn w:val="24"/>
    <w:qFormat/>
    <w:uiPriority w:val="0"/>
    <w:rPr>
      <w:rFonts w:hint="eastAsia" w:ascii="宋体" w:hAnsi="宋体" w:eastAsia="宋体" w:cs="宋体"/>
      <w:color w:val="000000"/>
      <w:sz w:val="20"/>
      <w:szCs w:val="20"/>
      <w:u w:val="none"/>
    </w:rPr>
  </w:style>
  <w:style w:type="paragraph" w:styleId="51">
    <w:name w:val="List Paragraph"/>
    <w:basedOn w:val="1"/>
    <w:qFormat/>
    <w:uiPriority w:val="99"/>
    <w:pPr>
      <w:ind w:firstLine="420" w:firstLineChars="200"/>
    </w:pPr>
  </w:style>
  <w:style w:type="character" w:customStyle="1" w:styleId="52">
    <w:name w:val="标题 2 字符"/>
    <w:basedOn w:val="24"/>
    <w:link w:val="4"/>
    <w:qFormat/>
    <w:uiPriority w:val="0"/>
    <w:rPr>
      <w:rFonts w:ascii="宋体" w:hAnsi="宋体" w:eastAsia="宋体" w:cs="宋体"/>
      <w:b/>
      <w:bCs/>
      <w:kern w:val="2"/>
      <w:sz w:val="28"/>
      <w:szCs w:val="32"/>
    </w:rPr>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mini-outputtext1"/>
    <w:basedOn w:val="24"/>
    <w:uiPriority w:val="0"/>
  </w:style>
  <w:style w:type="character" w:customStyle="1" w:styleId="55">
    <w:name w:val="beforeinfotext"/>
    <w:basedOn w:val="24"/>
    <w:qFormat/>
    <w:uiPriority w:val="0"/>
    <w:rPr>
      <w:color w:val="666666"/>
    </w:rPr>
  </w:style>
  <w:style w:type="character" w:customStyle="1" w:styleId="56">
    <w:name w:val="number"/>
    <w:basedOn w:val="24"/>
    <w:uiPriority w:val="0"/>
    <w:rPr>
      <w:color w:val="FF8833"/>
      <w:sz w:val="18"/>
      <w:szCs w:val="18"/>
    </w:rPr>
  </w:style>
  <w:style w:type="character" w:customStyle="1" w:styleId="57">
    <w:name w:val="phone"/>
    <w:basedOn w:val="24"/>
    <w:qFormat/>
    <w:uiPriority w:val="0"/>
    <w:rPr>
      <w:color w:val="FF8833"/>
      <w:sz w:val="18"/>
      <w:szCs w:val="18"/>
    </w:rPr>
  </w:style>
  <w:style w:type="character" w:customStyle="1" w:styleId="58">
    <w:name w:val="stclosebtn"/>
    <w:basedOn w:val="24"/>
    <w:qFormat/>
    <w:uiPriority w:val="0"/>
  </w:style>
  <w:style w:type="character" w:customStyle="1" w:styleId="59">
    <w:name w:val="proollist"/>
    <w:basedOn w:val="24"/>
    <w:qFormat/>
    <w:uiPriority w:val="0"/>
  </w:style>
  <w:style w:type="paragraph" w:customStyle="1" w:styleId="60">
    <w:name w:val="title11"/>
    <w:basedOn w:val="1"/>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61">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ZYY</Company>
  <Pages>105</Pages>
  <Words>61686</Words>
  <Characters>64497</Characters>
  <Lines>588</Lines>
  <Paragraphs>165</Paragraphs>
  <TotalTime>1</TotalTime>
  <ScaleCrop>false</ScaleCrop>
  <LinksUpToDate>false</LinksUpToDate>
  <CharactersWithSpaces>67367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2021-04-10T10:09:00Z</dcterms:created>
  <dc:creator>彧</dc:creator>
  <cp:lastModifiedBy>你微笑时很美</cp:lastModifiedBy>
  <dcterms:modified xsi:type="dcterms:W3CDTF">2023-10-29T03:55:53Z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BA9E7A216F4F4F6491D5294D083FF6C4</vt:lpwstr>
  </property>
</Properties>
</file>